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751" w:rsidRPr="00B43A4A"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val="en-US" w:eastAsia="zh-CN"/>
        </w:rPr>
      </w:pPr>
    </w:p>
    <w:p w:rsidR="00606751" w:rsidRPr="00B43A4A"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val="en-US" w:eastAsia="zh-CN"/>
        </w:rPr>
      </w:pPr>
      <w:r w:rsidRPr="00B43A4A">
        <w:rPr>
          <w:lang w:val="en-US" w:eastAsia="zh-CN"/>
        </w:rPr>
        <w:t xml:space="preserve">3GPP TSG RAN WG1 Meeting </w:t>
      </w:r>
      <w:r w:rsidR="00C639D9" w:rsidRPr="00B43A4A">
        <w:rPr>
          <w:lang w:val="en-US" w:eastAsia="zh-CN"/>
        </w:rPr>
        <w:t>#8</w:t>
      </w:r>
      <w:r w:rsidR="00445E68">
        <w:rPr>
          <w:lang w:val="en-US" w:eastAsia="zh-CN"/>
        </w:rPr>
        <w:t>6</w:t>
      </w:r>
      <w:r w:rsidR="00FA0D54">
        <w:rPr>
          <w:lang w:val="en-US" w:eastAsia="zh-CN"/>
        </w:rPr>
        <w:tab/>
      </w:r>
      <w:r w:rsidR="00EF2943" w:rsidRPr="00B43A4A">
        <w:rPr>
          <w:rFonts w:ascii="Times New Roman" w:hAnsi="Times New Roman"/>
          <w:lang w:val="en-US" w:eastAsia="zh-CN"/>
        </w:rPr>
        <w:tab/>
      </w:r>
      <w:r w:rsidRPr="00B43A4A">
        <w:rPr>
          <w:lang w:val="en-US" w:eastAsia="zh-CN"/>
        </w:rPr>
        <w:t>R1-</w:t>
      </w:r>
      <w:r w:rsidR="00A70358" w:rsidRPr="00B43A4A">
        <w:rPr>
          <w:lang w:val="en-US" w:eastAsia="zh-CN"/>
        </w:rPr>
        <w:t>16</w:t>
      </w:r>
      <w:r w:rsidR="00491A38">
        <w:rPr>
          <w:lang w:val="en-US" w:eastAsia="zh-CN"/>
        </w:rPr>
        <w:t>7625</w:t>
      </w:r>
    </w:p>
    <w:p w:rsidR="00EF2943" w:rsidRPr="00B43A4A" w:rsidRDefault="00445E68"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t>Gothenburg, Sweden, 22</w:t>
      </w:r>
      <w:r w:rsidRPr="00445E68">
        <w:rPr>
          <w:vertAlign w:val="superscript"/>
        </w:rPr>
        <w:t>nd</w:t>
      </w:r>
      <w:r>
        <w:t xml:space="preserve"> – 26</w:t>
      </w:r>
      <w:r w:rsidRPr="00445E68">
        <w:rPr>
          <w:vertAlign w:val="superscript"/>
        </w:rPr>
        <w:t>th</w:t>
      </w:r>
      <w:r>
        <w:t xml:space="preserve"> August 2016</w:t>
      </w:r>
    </w:p>
    <w:p w:rsidR="00EF2943" w:rsidRPr="00B43A4A"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A5A29" w:rsidRPr="00B43A4A" w:rsidRDefault="00EA5A29" w:rsidP="00EA5A2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Agenda Item:</w:t>
      </w:r>
      <w:r w:rsidRPr="00B43A4A">
        <w:rPr>
          <w:rFonts w:cs="Arial"/>
          <w:lang w:val="en-US"/>
        </w:rPr>
        <w:tab/>
      </w:r>
      <w:r>
        <w:rPr>
          <w:rFonts w:cs="Arial"/>
          <w:lang w:val="en-US" w:eastAsia="zh-CN"/>
        </w:rPr>
        <w:t>7.2.1.2</w:t>
      </w:r>
    </w:p>
    <w:p w:rsidR="00951571" w:rsidRPr="00B43A4A" w:rsidRDefault="00951571" w:rsidP="00951571">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Source: </w:t>
      </w:r>
      <w:r w:rsidRPr="00B43A4A">
        <w:rPr>
          <w:rFonts w:cs="Arial"/>
          <w:lang w:val="en-US"/>
        </w:rPr>
        <w:tab/>
        <w:t xml:space="preserve">Nokia, </w:t>
      </w:r>
      <w:r w:rsidRPr="00B43A4A">
        <w:rPr>
          <w:rFonts w:cs="Arial"/>
          <w:lang w:val="en-US" w:eastAsia="zh-CN"/>
        </w:rPr>
        <w:t>Alcatel-Lucent Shanghai Bell</w:t>
      </w:r>
    </w:p>
    <w:p w:rsidR="00EF2943" w:rsidRPr="00B43A4A" w:rsidRDefault="00EF2943" w:rsidP="00A61BD5">
      <w:pPr>
        <w:pStyle w:val="Title"/>
        <w:pBdr>
          <w:top w:val="single" w:sz="12" w:space="5" w:color="auto"/>
          <w:bottom w:val="single" w:sz="12" w:space="7" w:color="auto"/>
        </w:pBdr>
        <w:tabs>
          <w:tab w:val="clear" w:pos="3780"/>
          <w:tab w:val="left" w:pos="1866"/>
          <w:tab w:val="left" w:pos="2131"/>
          <w:tab w:val="left" w:pos="5850"/>
        </w:tabs>
        <w:spacing w:before="80" w:after="80" w:line="240" w:lineRule="auto"/>
        <w:ind w:left="1888" w:hanging="1888"/>
        <w:rPr>
          <w:rFonts w:cs="Arial"/>
          <w:lang w:val="en-US" w:eastAsia="zh-CN"/>
        </w:rPr>
      </w:pPr>
      <w:r w:rsidRPr="00B43A4A">
        <w:rPr>
          <w:rFonts w:cs="Arial"/>
          <w:lang w:val="en-US"/>
        </w:rPr>
        <w:t xml:space="preserve">Title: </w:t>
      </w:r>
      <w:r w:rsidRPr="00B43A4A">
        <w:rPr>
          <w:rFonts w:cs="Arial"/>
          <w:lang w:val="en-US"/>
        </w:rPr>
        <w:tab/>
      </w:r>
      <w:r w:rsidR="002811A9">
        <w:rPr>
          <w:rFonts w:cs="Arial"/>
          <w:lang w:val="en-US"/>
        </w:rPr>
        <w:t>On the S</w:t>
      </w:r>
      <w:r w:rsidR="00EA5A29">
        <w:rPr>
          <w:rFonts w:cs="Arial"/>
          <w:lang w:val="en-US"/>
        </w:rPr>
        <w:t xml:space="preserve">ubframe </w:t>
      </w:r>
      <w:r w:rsidR="002811A9">
        <w:rPr>
          <w:rFonts w:cs="Arial"/>
          <w:lang w:val="en-US"/>
        </w:rPr>
        <w:t>I</w:t>
      </w:r>
      <w:r w:rsidR="0055011B">
        <w:rPr>
          <w:rFonts w:cs="Arial"/>
          <w:lang w:val="en-US"/>
        </w:rPr>
        <w:t>ndication in</w:t>
      </w:r>
      <w:r w:rsidR="002811A9">
        <w:rPr>
          <w:rFonts w:cs="Arial"/>
          <w:lang w:val="en-US"/>
        </w:rPr>
        <w:t xml:space="preserve"> SRS T</w:t>
      </w:r>
      <w:r w:rsidR="00EA5A29">
        <w:rPr>
          <w:rFonts w:cs="Arial"/>
          <w:lang w:val="en-US"/>
        </w:rPr>
        <w:t>riggering in eLAA</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val="en-US" w:eastAsia="zh-CN"/>
        </w:rPr>
      </w:pPr>
      <w:r w:rsidRPr="00B43A4A">
        <w:rPr>
          <w:rFonts w:cs="Arial"/>
          <w:lang w:val="en-US"/>
        </w:rPr>
        <w:t xml:space="preserve">Document for: </w:t>
      </w:r>
      <w:r w:rsidRPr="00B43A4A">
        <w:rPr>
          <w:rFonts w:cs="Arial"/>
          <w:lang w:val="en-US"/>
        </w:rPr>
        <w:tab/>
      </w:r>
      <w:r w:rsidR="002D7B65" w:rsidRPr="00B43A4A">
        <w:rPr>
          <w:rFonts w:cs="Arial"/>
          <w:lang w:val="en-US"/>
        </w:rPr>
        <w:t>Discussion</w:t>
      </w:r>
      <w:r w:rsidR="00A70358" w:rsidRPr="00B43A4A">
        <w:rPr>
          <w:rFonts w:cs="Arial"/>
          <w:lang w:val="en-US" w:eastAsia="zh-CN"/>
        </w:rPr>
        <w:t xml:space="preserve"> and </w:t>
      </w:r>
      <w:r w:rsidRPr="00B43A4A">
        <w:rPr>
          <w:rFonts w:cs="Arial"/>
          <w:lang w:val="en-US" w:eastAsia="zh-CN"/>
        </w:rPr>
        <w:t>Decision</w:t>
      </w:r>
    </w:p>
    <w:p w:rsidR="00491EEE" w:rsidRPr="00B43A4A" w:rsidRDefault="00B209B5" w:rsidP="006D239D">
      <w:pPr>
        <w:pStyle w:val="Heading1"/>
        <w:rPr>
          <w:lang w:val="en-US"/>
        </w:rPr>
      </w:pPr>
      <w:bookmarkStart w:id="0" w:name="Source"/>
      <w:bookmarkEnd w:id="0"/>
      <w:r w:rsidRPr="00B43A4A">
        <w:rPr>
          <w:lang w:val="en-US"/>
        </w:rPr>
        <w:t>Introduction</w:t>
      </w:r>
    </w:p>
    <w:p w:rsidR="00EA5A29" w:rsidRDefault="00EA5A29" w:rsidP="00A61BD5">
      <w:pPr>
        <w:ind w:right="1035"/>
        <w:jc w:val="both"/>
        <w:rPr>
          <w:lang w:eastAsia="zh-CN"/>
        </w:rPr>
      </w:pPr>
      <w:bookmarkStart w:id="1" w:name="_Ref410049002"/>
      <w:bookmarkStart w:id="2" w:name="_Ref410045574"/>
      <w:r>
        <w:rPr>
          <w:lang w:eastAsia="zh-CN"/>
        </w:rPr>
        <w:t>Regarding the triggering of aperiodic SRS, the following has been agreed in RAN1#85:</w:t>
      </w:r>
    </w:p>
    <w:p w:rsidR="00EA5A29" w:rsidRPr="00EA5A29" w:rsidRDefault="00EA5A29" w:rsidP="00EA5A29">
      <w:pPr>
        <w:ind w:left="288"/>
        <w:rPr>
          <w:b/>
          <w:i/>
          <w:sz w:val="18"/>
          <w:szCs w:val="18"/>
          <w:highlight w:val="green"/>
          <w:u w:val="single"/>
          <w:lang w:eastAsia="ko-KR"/>
        </w:rPr>
      </w:pPr>
      <w:r w:rsidRPr="00EA5A29">
        <w:rPr>
          <w:b/>
          <w:i/>
          <w:sz w:val="18"/>
          <w:szCs w:val="18"/>
          <w:highlight w:val="green"/>
          <w:u w:val="single"/>
          <w:lang w:eastAsia="ko-KR"/>
        </w:rPr>
        <w:t>Agreements:</w:t>
      </w:r>
    </w:p>
    <w:p w:rsidR="00EA5A29" w:rsidRPr="00EA5A29" w:rsidRDefault="00EA5A29" w:rsidP="00945FBB">
      <w:pPr>
        <w:pStyle w:val="ListParagraph"/>
        <w:numPr>
          <w:ilvl w:val="0"/>
          <w:numId w:val="3"/>
        </w:numPr>
        <w:ind w:left="1048"/>
        <w:rPr>
          <w:i/>
          <w:sz w:val="18"/>
          <w:szCs w:val="18"/>
          <w:lang w:eastAsia="ko-KR"/>
        </w:rPr>
      </w:pPr>
      <w:r w:rsidRPr="00EA5A29">
        <w:rPr>
          <w:i/>
          <w:sz w:val="18"/>
          <w:szCs w:val="18"/>
          <w:lang w:eastAsia="ko-KR"/>
        </w:rPr>
        <w:t>For MSF DCI format 4B, utilise the current 2-bit SRS triggering field; include SRS subframe indication in the SRS parameter set configuration</w:t>
      </w:r>
    </w:p>
    <w:p w:rsidR="00EA5A29" w:rsidRPr="00EA5A29" w:rsidRDefault="00EA5A29" w:rsidP="00945FBB">
      <w:pPr>
        <w:pStyle w:val="ListParagraph"/>
        <w:numPr>
          <w:ilvl w:val="0"/>
          <w:numId w:val="3"/>
        </w:numPr>
        <w:ind w:left="1048"/>
        <w:rPr>
          <w:i/>
          <w:sz w:val="18"/>
          <w:szCs w:val="18"/>
          <w:lang w:eastAsia="ko-KR"/>
        </w:rPr>
      </w:pPr>
      <w:r w:rsidRPr="00EA5A29">
        <w:rPr>
          <w:i/>
          <w:sz w:val="18"/>
          <w:szCs w:val="18"/>
          <w:lang w:eastAsia="ko-KR"/>
        </w:rPr>
        <w:t>For MSF DCI format 0B, existing SRS triggering bit and 1 additional bit are used for SRS triggering and subframe indication</w:t>
      </w:r>
    </w:p>
    <w:p w:rsidR="00EA5A29" w:rsidRPr="00EA5A29" w:rsidRDefault="00EA5A29" w:rsidP="00945FBB">
      <w:pPr>
        <w:pStyle w:val="ListParagraph"/>
        <w:numPr>
          <w:ilvl w:val="1"/>
          <w:numId w:val="3"/>
        </w:numPr>
        <w:ind w:left="1488"/>
        <w:rPr>
          <w:sz w:val="18"/>
          <w:szCs w:val="18"/>
          <w:lang w:eastAsia="ko-KR"/>
        </w:rPr>
      </w:pPr>
      <w:r w:rsidRPr="00EA5A29">
        <w:rPr>
          <w:i/>
          <w:sz w:val="18"/>
          <w:szCs w:val="18"/>
          <w:lang w:eastAsia="ko-KR"/>
        </w:rPr>
        <w:t>The 4 states are defined in specs as no triggering, first, second or last subframe</w:t>
      </w:r>
    </w:p>
    <w:p w:rsidR="00EA5A29" w:rsidRDefault="00EA5A29" w:rsidP="00A61BD5">
      <w:pPr>
        <w:ind w:right="1035"/>
        <w:jc w:val="both"/>
        <w:rPr>
          <w:lang w:eastAsia="zh-CN"/>
        </w:rPr>
      </w:pPr>
    </w:p>
    <w:p w:rsidR="00EA5A29" w:rsidRPr="0055011B" w:rsidRDefault="00EA5A29" w:rsidP="0055011B">
      <w:pPr>
        <w:overflowPunct/>
        <w:autoSpaceDE/>
        <w:autoSpaceDN/>
        <w:adjustRightInd/>
        <w:spacing w:after="0"/>
        <w:jc w:val="both"/>
        <w:textAlignment w:val="auto"/>
        <w:rPr>
          <w:rFonts w:eastAsia="MS Mincho"/>
          <w:lang w:eastAsia="ja-JP"/>
        </w:rPr>
      </w:pPr>
      <w:r w:rsidRPr="0055011B">
        <w:rPr>
          <w:rFonts w:eastAsia="MS Mincho"/>
          <w:lang w:eastAsia="ja-JP"/>
        </w:rPr>
        <w:t>For DCI format 4B</w:t>
      </w:r>
      <w:r w:rsidR="0055011B" w:rsidRPr="0055011B">
        <w:rPr>
          <w:rFonts w:eastAsia="MS Mincho"/>
          <w:lang w:eastAsia="ja-JP"/>
        </w:rPr>
        <w:t xml:space="preserve">, it has been agreed to include SRS subframe indication in the SRS parameter set configuration, and the current 2-bit SRS triggering field is reused to trigger one of the SRS parameter set (including the subframe indication).  </w:t>
      </w:r>
      <w:r w:rsidR="00BA50B2">
        <w:rPr>
          <w:rFonts w:eastAsia="MS Mincho"/>
          <w:lang w:eastAsia="ja-JP"/>
        </w:rPr>
        <w:t xml:space="preserve">However, exactly how the SRS subframe indication </w:t>
      </w:r>
      <w:r w:rsidR="005F4A23">
        <w:rPr>
          <w:rFonts w:eastAsia="MS Mincho"/>
          <w:lang w:eastAsia="ja-JP"/>
        </w:rPr>
        <w:t xml:space="preserve">in the SRS parameter set configuration </w:t>
      </w:r>
      <w:r w:rsidR="00BA50B2">
        <w:rPr>
          <w:rFonts w:eastAsia="MS Mincho"/>
          <w:lang w:eastAsia="ja-JP"/>
        </w:rPr>
        <w:t xml:space="preserve">is defined was not discussed. </w:t>
      </w:r>
      <w:r w:rsidR="0055011B" w:rsidRPr="0055011B">
        <w:rPr>
          <w:rFonts w:eastAsia="MS Mincho"/>
          <w:lang w:eastAsia="ja-JP"/>
        </w:rPr>
        <w:t xml:space="preserve">In this contribution, we discuss </w:t>
      </w:r>
      <w:r w:rsidR="00BA50B2">
        <w:rPr>
          <w:rFonts w:eastAsia="MS Mincho"/>
          <w:lang w:eastAsia="ja-JP"/>
        </w:rPr>
        <w:t>the</w:t>
      </w:r>
      <w:r w:rsidR="0055011B" w:rsidRPr="0055011B">
        <w:rPr>
          <w:rFonts w:eastAsia="MS Mincho"/>
          <w:lang w:eastAsia="ja-JP"/>
        </w:rPr>
        <w:t xml:space="preserve"> </w:t>
      </w:r>
      <w:r w:rsidR="00BA50B2">
        <w:rPr>
          <w:rFonts w:eastAsia="MS Mincho"/>
          <w:lang w:eastAsia="ja-JP"/>
        </w:rPr>
        <w:t>detailed solution and propose an approach that</w:t>
      </w:r>
      <w:r w:rsidR="0055011B" w:rsidRPr="0055011B">
        <w:rPr>
          <w:rFonts w:eastAsia="MS Mincho"/>
          <w:lang w:eastAsia="ja-JP"/>
        </w:rPr>
        <w:t xml:space="preserve"> would greatly increase the flexibility of the signaling.</w:t>
      </w:r>
    </w:p>
    <w:p w:rsidR="0055011B" w:rsidRPr="0055011B" w:rsidRDefault="0055011B" w:rsidP="0055011B">
      <w:pPr>
        <w:overflowPunct/>
        <w:autoSpaceDE/>
        <w:autoSpaceDN/>
        <w:adjustRightInd/>
        <w:spacing w:after="0"/>
        <w:jc w:val="both"/>
        <w:textAlignment w:val="auto"/>
        <w:rPr>
          <w:rFonts w:eastAsia="MS Mincho"/>
          <w:lang w:eastAsia="ja-JP"/>
        </w:rPr>
      </w:pPr>
    </w:p>
    <w:p w:rsidR="0010070F" w:rsidRPr="00B43A4A" w:rsidRDefault="005F4A23" w:rsidP="00075414">
      <w:pPr>
        <w:pStyle w:val="Heading1"/>
        <w:rPr>
          <w:lang w:val="en-US"/>
        </w:rPr>
      </w:pPr>
      <w:r>
        <w:rPr>
          <w:lang w:val="en-US"/>
        </w:rPr>
        <w:t xml:space="preserve">SRS </w:t>
      </w:r>
      <w:r w:rsidR="00BA50B2">
        <w:rPr>
          <w:lang w:val="en-US"/>
        </w:rPr>
        <w:t>Subframe Indication</w:t>
      </w:r>
      <w:r>
        <w:rPr>
          <w:lang w:val="en-US"/>
        </w:rPr>
        <w:t xml:space="preserve"> for Format 4B</w:t>
      </w:r>
    </w:p>
    <w:p w:rsidR="001604F9" w:rsidRDefault="001604F9" w:rsidP="004E65FE">
      <w:pPr>
        <w:spacing w:before="60" w:after="60"/>
        <w:jc w:val="both"/>
        <w:rPr>
          <w:lang w:eastAsia="zh-CN"/>
        </w:rPr>
      </w:pPr>
    </w:p>
    <w:p w:rsidR="00951571" w:rsidRDefault="00951571" w:rsidP="00951571">
      <w:pPr>
        <w:spacing w:before="60" w:after="60"/>
        <w:jc w:val="both"/>
        <w:rPr>
          <w:lang w:eastAsia="zh-CN"/>
        </w:rPr>
      </w:pPr>
      <w:r>
        <w:rPr>
          <w:lang w:eastAsia="zh-CN"/>
        </w:rPr>
        <w:t>For SRS triggered by format 4B (multi-subframe scheduling), it is natural to define the location of SRS subframe as relative to the first subframe of the multi-subframe scheduling burst.</w:t>
      </w:r>
    </w:p>
    <w:p w:rsidR="00951571" w:rsidRDefault="00951571" w:rsidP="00951571">
      <w:pPr>
        <w:pStyle w:val="CommentText"/>
      </w:pPr>
    </w:p>
    <w:p w:rsidR="00951571" w:rsidRDefault="00951571" w:rsidP="00951571">
      <w:pPr>
        <w:pStyle w:val="CommentText"/>
      </w:pPr>
      <w:r w:rsidRPr="00F52C31">
        <w:rPr>
          <w:b/>
          <w:u w:val="single"/>
        </w:rPr>
        <w:t>Proposal 1</w:t>
      </w:r>
      <w:r>
        <w:t>: Location of SRS subframe is determined relative to the first subframe of the multi-subframe scheduling burst.</w:t>
      </w:r>
    </w:p>
    <w:p w:rsidR="00951571" w:rsidRDefault="00951571" w:rsidP="004E65FE">
      <w:pPr>
        <w:spacing w:before="60" w:after="60"/>
        <w:jc w:val="both"/>
        <w:rPr>
          <w:lang w:eastAsia="zh-CN"/>
        </w:rPr>
      </w:pPr>
    </w:p>
    <w:p w:rsidR="002522F8" w:rsidRDefault="00951571" w:rsidP="002522F8">
      <w:pPr>
        <w:spacing w:before="60" w:after="60"/>
        <w:jc w:val="both"/>
        <w:rPr>
          <w:lang w:eastAsia="zh-CN"/>
        </w:rPr>
      </w:pPr>
      <w:r>
        <w:rPr>
          <w:lang w:eastAsia="zh-CN"/>
        </w:rPr>
        <w:t>Following proposal 1, t</w:t>
      </w:r>
      <w:r w:rsidR="00BA50B2">
        <w:rPr>
          <w:lang w:eastAsia="zh-CN"/>
        </w:rPr>
        <w:t xml:space="preserve">he most straightforward way is to define the SRS subframe indication </w:t>
      </w:r>
      <w:r w:rsidR="005F4A23" w:rsidRPr="005F4A23">
        <w:rPr>
          <w:lang w:eastAsia="zh-CN"/>
        </w:rPr>
        <w:t xml:space="preserve">in the SRS parameter set configuration </w:t>
      </w:r>
      <w:r w:rsidR="00BA50B2">
        <w:rPr>
          <w:lang w:eastAsia="zh-CN"/>
        </w:rPr>
        <w:t xml:space="preserve">as subframe location relative to the </w:t>
      </w:r>
      <w:r>
        <w:rPr>
          <w:lang w:eastAsia="zh-CN"/>
        </w:rPr>
        <w:t xml:space="preserve">first subframe </w:t>
      </w:r>
      <w:r w:rsidR="00BA50B2">
        <w:rPr>
          <w:lang w:eastAsia="zh-CN"/>
        </w:rPr>
        <w:t xml:space="preserve">of the multi-subframe scheduling burst. The possible set of values would be {0, 1, 2, 3}, with </w:t>
      </w:r>
      <w:r>
        <w:rPr>
          <w:lang w:eastAsia="zh-CN"/>
        </w:rPr>
        <w:t xml:space="preserve">a </w:t>
      </w:r>
      <w:r w:rsidR="00BA50B2">
        <w:rPr>
          <w:lang w:eastAsia="zh-CN"/>
        </w:rPr>
        <w:t>maximum of 4 subframes</w:t>
      </w:r>
      <w:r>
        <w:rPr>
          <w:lang w:eastAsia="zh-CN"/>
        </w:rPr>
        <w:t xml:space="preserve"> in a multi-subframe scheduling grant</w:t>
      </w:r>
      <w:r w:rsidR="00BA50B2">
        <w:rPr>
          <w:lang w:eastAsia="zh-CN"/>
        </w:rPr>
        <w:t>.</w:t>
      </w:r>
    </w:p>
    <w:p w:rsidR="006F444F" w:rsidRDefault="00BA50B2" w:rsidP="002522F8">
      <w:pPr>
        <w:spacing w:before="60" w:after="60"/>
        <w:jc w:val="both"/>
        <w:rPr>
          <w:lang w:eastAsia="zh-CN"/>
        </w:rPr>
      </w:pPr>
      <w:r>
        <w:rPr>
          <w:lang w:eastAsia="zh-CN"/>
        </w:rPr>
        <w:t>The SRS subframe indication is semi-statically configured via RRC, but the actual number of subframes scheduled is dynamic depending on the schedul</w:t>
      </w:r>
      <w:r w:rsidR="00951571">
        <w:rPr>
          <w:lang w:eastAsia="zh-CN"/>
        </w:rPr>
        <w:t>ing</w:t>
      </w:r>
      <w:r>
        <w:rPr>
          <w:lang w:eastAsia="zh-CN"/>
        </w:rPr>
        <w:t xml:space="preserve"> decision. With N</w:t>
      </w:r>
      <w:r w:rsidR="005F4A23">
        <w:rPr>
          <w:lang w:eastAsia="zh-CN"/>
        </w:rPr>
        <w:t>_sf</w:t>
      </w:r>
      <w:r>
        <w:rPr>
          <w:lang w:eastAsia="zh-CN"/>
        </w:rPr>
        <w:t xml:space="preserve"> = 4, the actual number of subframes scheduled in one UL grant can vary from 1 to 4. </w:t>
      </w:r>
      <w:r w:rsidR="006F444F">
        <w:rPr>
          <w:lang w:eastAsia="zh-CN"/>
        </w:rPr>
        <w:t xml:space="preserve">So mismatch could happen between the configured SRS subframe indications and the actual </w:t>
      </w:r>
      <w:r w:rsidR="00951571">
        <w:rPr>
          <w:lang w:eastAsia="zh-CN"/>
        </w:rPr>
        <w:t xml:space="preserve">number of </w:t>
      </w:r>
      <w:r w:rsidR="006F444F">
        <w:rPr>
          <w:lang w:eastAsia="zh-CN"/>
        </w:rPr>
        <w:t>scheduled</w:t>
      </w:r>
      <w:r w:rsidR="00951571">
        <w:rPr>
          <w:lang w:eastAsia="zh-CN"/>
        </w:rPr>
        <w:t xml:space="preserve"> subframes</w:t>
      </w:r>
      <w:r w:rsidR="006F444F">
        <w:rPr>
          <w:lang w:eastAsia="zh-CN"/>
        </w:rPr>
        <w:t>:</w:t>
      </w:r>
    </w:p>
    <w:p w:rsidR="00BA50B2" w:rsidRDefault="006F444F" w:rsidP="00945FBB">
      <w:pPr>
        <w:pStyle w:val="ListParagraph"/>
        <w:numPr>
          <w:ilvl w:val="0"/>
          <w:numId w:val="4"/>
        </w:numPr>
        <w:spacing w:before="60" w:after="60"/>
        <w:jc w:val="both"/>
        <w:rPr>
          <w:sz w:val="20"/>
          <w:lang w:eastAsia="zh-CN"/>
        </w:rPr>
      </w:pPr>
      <w:r>
        <w:rPr>
          <w:sz w:val="20"/>
          <w:lang w:eastAsia="zh-CN"/>
        </w:rPr>
        <w:t xml:space="preserve">The value in the </w:t>
      </w:r>
      <w:r w:rsidR="005F4A23">
        <w:rPr>
          <w:sz w:val="20"/>
          <w:lang w:eastAsia="zh-CN"/>
        </w:rPr>
        <w:t xml:space="preserve">higher-layer configured </w:t>
      </w:r>
      <w:r>
        <w:rPr>
          <w:sz w:val="20"/>
          <w:lang w:eastAsia="zh-CN"/>
        </w:rPr>
        <w:t>SRS subframe indications could be larger than the actual number of scheduled subframe. In this case, these values would be invalid configurations and cannot be used. This would reduce the number of valid configuration</w:t>
      </w:r>
      <w:r w:rsidR="0026259D">
        <w:rPr>
          <w:sz w:val="20"/>
          <w:lang w:eastAsia="zh-CN"/>
        </w:rPr>
        <w:t>s</w:t>
      </w:r>
      <w:r>
        <w:rPr>
          <w:sz w:val="20"/>
          <w:lang w:eastAsia="zh-CN"/>
        </w:rPr>
        <w:t xml:space="preserve">. Since there are only </w:t>
      </w:r>
      <w:r w:rsidR="00DF47CF">
        <w:rPr>
          <w:sz w:val="20"/>
          <w:lang w:eastAsia="zh-CN"/>
        </w:rPr>
        <w:t>3</w:t>
      </w:r>
      <w:r>
        <w:rPr>
          <w:sz w:val="20"/>
          <w:lang w:eastAsia="zh-CN"/>
        </w:rPr>
        <w:t xml:space="preserve"> </w:t>
      </w:r>
      <w:r w:rsidR="00DF47CF">
        <w:rPr>
          <w:sz w:val="20"/>
          <w:lang w:eastAsia="zh-CN"/>
        </w:rPr>
        <w:t>states for triggered SRS (with the 4</w:t>
      </w:r>
      <w:r w:rsidR="00DF47CF" w:rsidRPr="00DF47CF">
        <w:rPr>
          <w:sz w:val="20"/>
          <w:vertAlign w:val="superscript"/>
          <w:lang w:eastAsia="zh-CN"/>
        </w:rPr>
        <w:t>th</w:t>
      </w:r>
      <w:r w:rsidR="00DF47CF">
        <w:rPr>
          <w:sz w:val="20"/>
          <w:lang w:eastAsia="zh-CN"/>
        </w:rPr>
        <w:t xml:space="preserve"> states being no SRS triggering), any invalid configuration would</w:t>
      </w:r>
      <w:r>
        <w:rPr>
          <w:sz w:val="20"/>
          <w:lang w:eastAsia="zh-CN"/>
        </w:rPr>
        <w:t xml:space="preserve"> result</w:t>
      </w:r>
      <w:r w:rsidR="00DF47CF">
        <w:rPr>
          <w:sz w:val="20"/>
          <w:lang w:eastAsia="zh-CN"/>
        </w:rPr>
        <w:t xml:space="preserve"> in less flexibility.</w:t>
      </w:r>
    </w:p>
    <w:p w:rsidR="00DF47CF" w:rsidRDefault="00DF47CF" w:rsidP="00945FBB">
      <w:pPr>
        <w:pStyle w:val="ListParagraph"/>
        <w:numPr>
          <w:ilvl w:val="1"/>
          <w:numId w:val="4"/>
        </w:numPr>
        <w:spacing w:before="60" w:after="60"/>
        <w:jc w:val="both"/>
        <w:rPr>
          <w:sz w:val="20"/>
          <w:lang w:eastAsia="zh-CN"/>
        </w:rPr>
      </w:pPr>
      <w:r>
        <w:rPr>
          <w:sz w:val="20"/>
          <w:lang w:eastAsia="zh-CN"/>
        </w:rPr>
        <w:t>As an example, in case of N</w:t>
      </w:r>
      <w:r w:rsidR="005F4A23">
        <w:rPr>
          <w:sz w:val="20"/>
          <w:lang w:eastAsia="zh-CN"/>
        </w:rPr>
        <w:t>_sf</w:t>
      </w:r>
      <w:r>
        <w:rPr>
          <w:sz w:val="20"/>
          <w:lang w:eastAsia="zh-CN"/>
        </w:rPr>
        <w:t xml:space="preserve"> = 4, the SRS subframe indications in the 3 states are 0, 1, 3 respectively. </w:t>
      </w:r>
      <w:r w:rsidR="008864A5">
        <w:rPr>
          <w:sz w:val="20"/>
          <w:lang w:eastAsia="zh-CN"/>
        </w:rPr>
        <w:t>I</w:t>
      </w:r>
      <w:r>
        <w:rPr>
          <w:sz w:val="20"/>
          <w:lang w:eastAsia="zh-CN"/>
        </w:rPr>
        <w:t xml:space="preserve">f the actual number of schedules subframes </w:t>
      </w:r>
      <w:r w:rsidR="008864A5">
        <w:rPr>
          <w:sz w:val="20"/>
          <w:lang w:eastAsia="zh-CN"/>
        </w:rPr>
        <w:t xml:space="preserve">is 1, 2, 3, or 4, </w:t>
      </w:r>
      <w:r w:rsidR="005F4A23">
        <w:rPr>
          <w:sz w:val="20"/>
          <w:lang w:eastAsia="zh-CN"/>
        </w:rPr>
        <w:t>t</w:t>
      </w:r>
      <w:r w:rsidR="008864A5">
        <w:rPr>
          <w:sz w:val="20"/>
          <w:lang w:eastAsia="zh-CN"/>
        </w:rPr>
        <w:t xml:space="preserve">he number of valid configurations is 1, 2, 2, or 3, respectively. It is an obvious drawback that we cannot take full advantage of the </w:t>
      </w:r>
      <w:r w:rsidR="005F4A23">
        <w:rPr>
          <w:sz w:val="20"/>
          <w:lang w:eastAsia="zh-CN"/>
        </w:rPr>
        <w:t xml:space="preserve">total </w:t>
      </w:r>
      <w:r w:rsidR="008864A5">
        <w:rPr>
          <w:sz w:val="20"/>
          <w:lang w:eastAsia="zh-CN"/>
        </w:rPr>
        <w:t xml:space="preserve">number of </w:t>
      </w:r>
      <w:r w:rsidR="005F4A23">
        <w:rPr>
          <w:sz w:val="20"/>
          <w:lang w:eastAsia="zh-CN"/>
        </w:rPr>
        <w:t xml:space="preserve">SRS parameter set </w:t>
      </w:r>
      <w:r w:rsidR="008864A5">
        <w:rPr>
          <w:sz w:val="20"/>
          <w:lang w:eastAsia="zh-CN"/>
        </w:rPr>
        <w:t>configurations available.</w:t>
      </w:r>
    </w:p>
    <w:p w:rsidR="008864A5" w:rsidRDefault="008864A5" w:rsidP="008864A5">
      <w:pPr>
        <w:spacing w:before="60" w:after="60"/>
        <w:jc w:val="both"/>
        <w:rPr>
          <w:lang w:eastAsia="zh-CN"/>
        </w:rPr>
      </w:pPr>
      <w:r>
        <w:rPr>
          <w:lang w:eastAsia="zh-CN"/>
        </w:rPr>
        <w:t xml:space="preserve">Fortunately, this can be avoided by introducing a simple modulo operation. Instead of directly taking the absolute value in the </w:t>
      </w:r>
      <w:r w:rsidR="005F4A23">
        <w:rPr>
          <w:lang w:eastAsia="zh-CN"/>
        </w:rPr>
        <w:t xml:space="preserve">higher-layer configured </w:t>
      </w:r>
      <w:r>
        <w:rPr>
          <w:lang w:eastAsia="zh-CN"/>
        </w:rPr>
        <w:t>SRS subframe indication</w:t>
      </w:r>
      <w:r w:rsidR="005F4A23">
        <w:rPr>
          <w:lang w:eastAsia="zh-CN"/>
        </w:rPr>
        <w:t xml:space="preserve"> in </w:t>
      </w:r>
      <w:r w:rsidR="00951571">
        <w:rPr>
          <w:lang w:eastAsia="zh-CN"/>
        </w:rPr>
        <w:t>a</w:t>
      </w:r>
      <w:r w:rsidR="005F4A23">
        <w:rPr>
          <w:lang w:eastAsia="zh-CN"/>
        </w:rPr>
        <w:t xml:space="preserve"> SRS parameter set</w:t>
      </w:r>
      <w:r>
        <w:rPr>
          <w:lang w:eastAsia="zh-CN"/>
        </w:rPr>
        <w:t xml:space="preserve">, a modulo operation with respect to the number of the scheduled subframes is added on top so that any </w:t>
      </w:r>
      <w:r w:rsidR="00951571">
        <w:rPr>
          <w:lang w:eastAsia="zh-CN"/>
        </w:rPr>
        <w:t xml:space="preserve">SRS subframe indication in a </w:t>
      </w:r>
      <w:r w:rsidR="005F4A23">
        <w:rPr>
          <w:lang w:eastAsia="zh-CN"/>
        </w:rPr>
        <w:t>SRS parameter set</w:t>
      </w:r>
      <w:r>
        <w:rPr>
          <w:lang w:eastAsia="zh-CN"/>
        </w:rPr>
        <w:t xml:space="preserve"> is </w:t>
      </w:r>
      <w:r>
        <w:rPr>
          <w:lang w:eastAsia="zh-CN"/>
        </w:rPr>
        <w:lastRenderedPageBreak/>
        <w:t xml:space="preserve">always a valid configuration. To be more specific, if the value of the SRS subframe indication is x, the UL subframe </w:t>
      </w:r>
      <w:r w:rsidR="00951571">
        <w:rPr>
          <w:lang w:eastAsia="zh-CN"/>
        </w:rPr>
        <w:t xml:space="preserve">location </w:t>
      </w:r>
      <w:r>
        <w:rPr>
          <w:lang w:eastAsia="zh-CN"/>
        </w:rPr>
        <w:t>for SRS transmission is given by</w:t>
      </w:r>
    </w:p>
    <w:p w:rsidR="008864A5" w:rsidRDefault="008864A5" w:rsidP="008864A5">
      <w:pPr>
        <w:spacing w:before="60" w:after="60"/>
        <w:jc w:val="center"/>
        <w:rPr>
          <w:lang w:eastAsia="zh-CN"/>
        </w:rPr>
      </w:pPr>
      <w:r>
        <w:rPr>
          <w:lang w:eastAsia="zh-CN"/>
        </w:rPr>
        <w:t xml:space="preserve">n </w:t>
      </w:r>
      <w:r w:rsidR="00054366">
        <w:rPr>
          <w:lang w:eastAsia="zh-CN"/>
        </w:rPr>
        <w:t>= mod (x, the number of scheduled s</w:t>
      </w:r>
      <w:r>
        <w:rPr>
          <w:lang w:eastAsia="zh-CN"/>
        </w:rPr>
        <w:t>u</w:t>
      </w:r>
      <w:r w:rsidR="00054366">
        <w:rPr>
          <w:lang w:eastAsia="zh-CN"/>
        </w:rPr>
        <w:t>b</w:t>
      </w:r>
      <w:r>
        <w:rPr>
          <w:lang w:eastAsia="zh-CN"/>
        </w:rPr>
        <w:t>frames).</w:t>
      </w:r>
    </w:p>
    <w:p w:rsidR="008864A5" w:rsidRDefault="008864A5" w:rsidP="008864A5">
      <w:pPr>
        <w:spacing w:before="60" w:after="60"/>
        <w:jc w:val="both"/>
        <w:rPr>
          <w:lang w:eastAsia="zh-CN"/>
        </w:rPr>
      </w:pPr>
    </w:p>
    <w:p w:rsidR="00F30276" w:rsidRDefault="00F30276" w:rsidP="00F30276">
      <w:pPr>
        <w:spacing w:before="60" w:after="60"/>
        <w:jc w:val="both"/>
        <w:rPr>
          <w:lang w:eastAsia="zh-CN"/>
        </w:rPr>
      </w:pPr>
      <w:r>
        <w:rPr>
          <w:lang w:eastAsia="zh-CN"/>
        </w:rPr>
        <w:t>T</w:t>
      </w:r>
      <w:r w:rsidR="008864A5">
        <w:rPr>
          <w:lang w:eastAsia="zh-CN"/>
        </w:rPr>
        <w:t>he f</w:t>
      </w:r>
      <w:r>
        <w:rPr>
          <w:lang w:eastAsia="zh-CN"/>
        </w:rPr>
        <w:t>ollowing example is provided to further illustrate how it works and show the benefit. In this example, the UE is configured with 3 SRS parameter sets.</w:t>
      </w:r>
    </w:p>
    <w:p w:rsidR="00F30276" w:rsidRPr="00F30276" w:rsidRDefault="00F30276" w:rsidP="00945FBB">
      <w:pPr>
        <w:pStyle w:val="ListParagraph"/>
        <w:numPr>
          <w:ilvl w:val="0"/>
          <w:numId w:val="5"/>
        </w:numPr>
        <w:spacing w:before="60" w:after="60"/>
        <w:jc w:val="both"/>
        <w:rPr>
          <w:lang w:eastAsia="zh-CN"/>
        </w:rPr>
      </w:pPr>
      <w:r>
        <w:rPr>
          <w:sz w:val="20"/>
          <w:lang w:eastAsia="zh-CN"/>
        </w:rPr>
        <w:t>SRS parameter set 1</w:t>
      </w:r>
      <w:r w:rsidR="00EB03A6">
        <w:rPr>
          <w:sz w:val="20"/>
          <w:lang w:eastAsia="zh-CN"/>
        </w:rPr>
        <w:t xml:space="preserve"> </w:t>
      </w:r>
      <w:r w:rsidRPr="00F30276">
        <w:rPr>
          <w:sz w:val="20"/>
          <w:lang w:eastAsia="zh-CN"/>
        </w:rPr>
        <w:t>including parameter x indicating SRS t</w:t>
      </w:r>
      <w:r>
        <w:rPr>
          <w:sz w:val="20"/>
          <w:lang w:eastAsia="zh-CN"/>
        </w:rPr>
        <w:t>ransmission in the 1st</w:t>
      </w:r>
      <w:r w:rsidRPr="00F30276">
        <w:rPr>
          <w:sz w:val="20"/>
          <w:lang w:eastAsia="zh-CN"/>
        </w:rPr>
        <w:t xml:space="preserve"> PUSCH subframe (x=1)</w:t>
      </w:r>
      <w:r>
        <w:rPr>
          <w:sz w:val="20"/>
          <w:lang w:eastAsia="zh-CN"/>
        </w:rPr>
        <w:t xml:space="preserve">, </w:t>
      </w:r>
      <w:r w:rsidRPr="00F30276">
        <w:rPr>
          <w:sz w:val="20"/>
          <w:lang w:eastAsia="zh-CN"/>
        </w:rPr>
        <w:t>IFDMA-comb1, cyclic shift1, etc.</w:t>
      </w:r>
    </w:p>
    <w:p w:rsidR="00F30276" w:rsidRPr="00F30276" w:rsidRDefault="00F30276" w:rsidP="00945FBB">
      <w:pPr>
        <w:pStyle w:val="ListParagraph"/>
        <w:numPr>
          <w:ilvl w:val="0"/>
          <w:numId w:val="5"/>
        </w:numPr>
        <w:spacing w:before="60" w:after="60"/>
        <w:jc w:val="both"/>
        <w:rPr>
          <w:sz w:val="20"/>
          <w:lang w:eastAsia="zh-CN"/>
        </w:rPr>
      </w:pPr>
      <w:r w:rsidRPr="00F30276">
        <w:rPr>
          <w:sz w:val="20"/>
          <w:lang w:eastAsia="zh-CN"/>
        </w:rPr>
        <w:t xml:space="preserve">SRS parameter set 2 including parameter x indicating SRS transmission in the 2nd PUSCH subframe (x=2), </w:t>
      </w:r>
      <w:r>
        <w:rPr>
          <w:sz w:val="20"/>
          <w:lang w:eastAsia="zh-CN"/>
        </w:rPr>
        <w:t>IFDMA-comb2</w:t>
      </w:r>
      <w:r w:rsidRPr="00F30276">
        <w:rPr>
          <w:sz w:val="20"/>
          <w:lang w:eastAsia="zh-CN"/>
        </w:rPr>
        <w:t>, cyclic shift2, etc.</w:t>
      </w:r>
    </w:p>
    <w:p w:rsidR="00F30276" w:rsidRPr="00F30276" w:rsidRDefault="00F30276" w:rsidP="00945FBB">
      <w:pPr>
        <w:pStyle w:val="ListParagraph"/>
        <w:numPr>
          <w:ilvl w:val="0"/>
          <w:numId w:val="5"/>
        </w:numPr>
        <w:spacing w:before="60" w:after="60"/>
        <w:jc w:val="both"/>
        <w:rPr>
          <w:sz w:val="20"/>
          <w:lang w:eastAsia="zh-CN"/>
        </w:rPr>
      </w:pPr>
      <w:r>
        <w:rPr>
          <w:sz w:val="20"/>
          <w:lang w:eastAsia="zh-CN"/>
        </w:rPr>
        <w:t>SRS parameter set 3</w:t>
      </w:r>
      <w:r w:rsidRPr="00F30276">
        <w:rPr>
          <w:sz w:val="20"/>
          <w:lang w:eastAsia="zh-CN"/>
        </w:rPr>
        <w:t xml:space="preserve"> including parameter x indicating SRS transmission in the 3rd PUSCH subframe (x=3), I</w:t>
      </w:r>
      <w:r>
        <w:rPr>
          <w:sz w:val="20"/>
          <w:lang w:eastAsia="zh-CN"/>
        </w:rPr>
        <w:t>FDMA-comb3, cyclic shift3, etc.</w:t>
      </w:r>
    </w:p>
    <w:p w:rsidR="00054366" w:rsidRDefault="00054366" w:rsidP="00054366">
      <w:r>
        <w:t>Consider a multi-subframe scheduling grant that schedules 2 subframes. If there is</w:t>
      </w:r>
      <w:r w:rsidR="0026259D">
        <w:t xml:space="preserve"> no</w:t>
      </w:r>
      <w:r>
        <w:t xml:space="preserve"> modulo operation, </w:t>
      </w:r>
      <w:r w:rsidR="00EB03A6">
        <w:t xml:space="preserve">SRS parameter </w:t>
      </w:r>
      <w:r>
        <w:t>set 3 would be an invalid parameter set, and the eNB cannot use set 3 to trigger SRS. But with modulo operation, as shown in Figure 2, set 3 would trigger SRS transmission in the 1</w:t>
      </w:r>
      <w:r w:rsidRPr="00054366">
        <w:rPr>
          <w:vertAlign w:val="superscript"/>
        </w:rPr>
        <w:t>st</w:t>
      </w:r>
      <w:r>
        <w:t xml:space="preserve"> subframe. So this easily allows all 3 sets of parameters to be usable</w:t>
      </w:r>
      <w:r w:rsidR="00EB03A6">
        <w:t xml:space="preserve"> independent of the number of scheduled UL subframes</w:t>
      </w:r>
      <w:r>
        <w:t>.</w:t>
      </w:r>
    </w:p>
    <w:p w:rsidR="00054366" w:rsidRDefault="00054366" w:rsidP="00054366">
      <w:r>
        <w:t>In addition, if the eNB wants to trigger SRS transmission in the 1</w:t>
      </w:r>
      <w:r w:rsidRPr="00054366">
        <w:rPr>
          <w:vertAlign w:val="superscript"/>
        </w:rPr>
        <w:t>st</w:t>
      </w:r>
      <w:r>
        <w:t xml:space="preserve"> subframe, it has two sets of parameters to choose from, set 1 or set 3 (could have different comb or different cyclic shift). This provides additional flexibility in choosing the SRS resource e.g. to allow better coordination among users, which also increases the flexibility in eNB scheduling.</w:t>
      </w:r>
    </w:p>
    <w:p w:rsidR="008864A5" w:rsidRDefault="00054366" w:rsidP="008864A5">
      <w:pPr>
        <w:jc w:val="center"/>
      </w:pPr>
      <w:r>
        <w:object w:dxaOrig="8023" w:dyaOrig="4479" w14:anchorId="6745C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24.25pt" o:ole="">
            <v:imagedata r:id="rId8" o:title=""/>
          </v:shape>
          <o:OLEObject Type="Embed" ProgID="Visio.Drawing.11" ShapeID="_x0000_i1025" DrawAspect="Content" ObjectID="_1532529955" r:id="rId9"/>
        </w:object>
      </w:r>
    </w:p>
    <w:p w:rsidR="008864A5" w:rsidRPr="001E369C" w:rsidRDefault="00054366" w:rsidP="008864A5">
      <w:pPr>
        <w:jc w:val="center"/>
        <w:rPr>
          <w:b/>
        </w:rPr>
      </w:pPr>
      <w:r>
        <w:rPr>
          <w:b/>
        </w:rPr>
        <w:t>Figure 2: SRS triggering</w:t>
      </w:r>
      <w:r w:rsidR="008864A5" w:rsidRPr="001E369C">
        <w:rPr>
          <w:b/>
        </w:rPr>
        <w:t xml:space="preserve"> example </w:t>
      </w:r>
      <w:r>
        <w:rPr>
          <w:b/>
        </w:rPr>
        <w:t>with modulo operation</w:t>
      </w:r>
    </w:p>
    <w:p w:rsidR="00EB03A6" w:rsidRDefault="00EB03A6" w:rsidP="008864A5">
      <w:pPr>
        <w:spacing w:before="60" w:after="60"/>
        <w:jc w:val="both"/>
        <w:rPr>
          <w:lang w:eastAsia="zh-CN"/>
        </w:rPr>
      </w:pPr>
    </w:p>
    <w:p w:rsidR="008864A5" w:rsidRDefault="00054366" w:rsidP="008864A5">
      <w:pPr>
        <w:spacing w:before="60" w:after="60"/>
        <w:jc w:val="both"/>
        <w:rPr>
          <w:lang w:eastAsia="zh-CN"/>
        </w:rPr>
      </w:pPr>
      <w:r>
        <w:rPr>
          <w:lang w:eastAsia="zh-CN"/>
        </w:rPr>
        <w:t>This appears to be a simple implementation that can greatly increase the signaling flexibility, which in turn can increase the flexibility in eNB scheduling. Therefore we propose:</w:t>
      </w:r>
    </w:p>
    <w:p w:rsidR="00EB03A6" w:rsidRDefault="00EB03A6" w:rsidP="008864A5">
      <w:pPr>
        <w:spacing w:before="60" w:after="60"/>
        <w:jc w:val="both"/>
        <w:rPr>
          <w:b/>
          <w:u w:val="single"/>
          <w:lang w:eastAsia="zh-CN"/>
        </w:rPr>
      </w:pPr>
    </w:p>
    <w:p w:rsidR="00054366" w:rsidRDefault="00054366" w:rsidP="008864A5">
      <w:pPr>
        <w:spacing w:before="60" w:after="60"/>
        <w:jc w:val="both"/>
        <w:rPr>
          <w:lang w:eastAsia="zh-CN"/>
        </w:rPr>
      </w:pPr>
      <w:r w:rsidRPr="00054366">
        <w:rPr>
          <w:b/>
          <w:u w:val="single"/>
          <w:lang w:eastAsia="zh-CN"/>
        </w:rPr>
        <w:t>Proposal</w:t>
      </w:r>
      <w:r w:rsidR="00951571">
        <w:rPr>
          <w:b/>
          <w:u w:val="single"/>
          <w:lang w:eastAsia="zh-CN"/>
        </w:rPr>
        <w:t xml:space="preserve"> 2</w:t>
      </w:r>
      <w:r>
        <w:rPr>
          <w:lang w:eastAsia="zh-CN"/>
        </w:rPr>
        <w:t xml:space="preserve">: For SRS triggered by MSF DCI format 4B, the </w:t>
      </w:r>
      <w:r w:rsidR="00BA4AF4">
        <w:rPr>
          <w:lang w:eastAsia="zh-CN"/>
        </w:rPr>
        <w:t xml:space="preserve">SRS </w:t>
      </w:r>
      <w:r>
        <w:rPr>
          <w:lang w:eastAsia="zh-CN"/>
        </w:rPr>
        <w:t xml:space="preserve">subframe location </w:t>
      </w:r>
      <w:r w:rsidR="00BA4AF4">
        <w:rPr>
          <w:lang w:eastAsia="zh-CN"/>
        </w:rPr>
        <w:t xml:space="preserve">relative to the </w:t>
      </w:r>
      <w:r w:rsidR="00951571">
        <w:rPr>
          <w:lang w:eastAsia="zh-CN"/>
        </w:rPr>
        <w:t>first subframe</w:t>
      </w:r>
      <w:r w:rsidR="00BA4AF4">
        <w:rPr>
          <w:lang w:eastAsia="zh-CN"/>
        </w:rPr>
        <w:t xml:space="preserve"> of the multi-subframe scheduling burst</w:t>
      </w:r>
      <w:r w:rsidR="00BA4AF4" w:rsidDel="00BA4AF4">
        <w:rPr>
          <w:lang w:eastAsia="zh-CN"/>
        </w:rPr>
        <w:t xml:space="preserve"> </w:t>
      </w:r>
      <w:r>
        <w:rPr>
          <w:lang w:eastAsia="zh-CN"/>
        </w:rPr>
        <w:t>is given by</w:t>
      </w:r>
    </w:p>
    <w:p w:rsidR="00054366" w:rsidRDefault="00054366" w:rsidP="00054366">
      <w:pPr>
        <w:spacing w:before="60" w:after="60"/>
        <w:jc w:val="center"/>
        <w:rPr>
          <w:lang w:eastAsia="zh-CN"/>
        </w:rPr>
      </w:pPr>
      <w:r>
        <w:rPr>
          <w:lang w:eastAsia="zh-CN"/>
        </w:rPr>
        <w:t>n = mod (x, the number of scheduled subframes),</w:t>
      </w:r>
    </w:p>
    <w:p w:rsidR="00054366" w:rsidRDefault="00054366" w:rsidP="008864A5">
      <w:pPr>
        <w:spacing w:before="60" w:after="60"/>
        <w:jc w:val="both"/>
        <w:rPr>
          <w:lang w:eastAsia="zh-CN"/>
        </w:rPr>
      </w:pPr>
      <w:r>
        <w:rPr>
          <w:lang w:eastAsia="zh-CN"/>
        </w:rPr>
        <w:t>where x is the value of the SRS subframe indication in the SRS parameter set configuration.</w:t>
      </w:r>
    </w:p>
    <w:p w:rsidR="00054366" w:rsidRPr="008864A5" w:rsidRDefault="00054366" w:rsidP="008864A5">
      <w:pPr>
        <w:spacing w:before="60" w:after="60"/>
        <w:jc w:val="both"/>
        <w:rPr>
          <w:lang w:eastAsia="zh-CN"/>
        </w:rPr>
      </w:pPr>
    </w:p>
    <w:p w:rsidR="00964842" w:rsidRPr="00B43A4A" w:rsidRDefault="00964842" w:rsidP="00964842">
      <w:pPr>
        <w:jc w:val="both"/>
        <w:rPr>
          <w:rFonts w:cs="Calibri"/>
          <w:b/>
          <w:i/>
          <w:lang w:eastAsia="zh-CN"/>
        </w:rPr>
      </w:pPr>
    </w:p>
    <w:p w:rsidR="00F76453" w:rsidRPr="00B43A4A" w:rsidRDefault="00F95EE0" w:rsidP="006D239D">
      <w:pPr>
        <w:pStyle w:val="Heading1"/>
        <w:rPr>
          <w:lang w:val="en-US"/>
        </w:rPr>
      </w:pPr>
      <w:r w:rsidRPr="00B43A4A">
        <w:rPr>
          <w:lang w:val="en-US"/>
        </w:rPr>
        <w:t>Conclusion</w:t>
      </w:r>
    </w:p>
    <w:p w:rsidR="00964842" w:rsidRDefault="00964842" w:rsidP="00964842">
      <w:pPr>
        <w:jc w:val="both"/>
        <w:rPr>
          <w:lang w:eastAsia="zh-CN"/>
        </w:rPr>
      </w:pPr>
      <w:r w:rsidRPr="00B43A4A">
        <w:rPr>
          <w:lang w:eastAsia="zh-CN"/>
        </w:rPr>
        <w:t xml:space="preserve">In this contribution, we </w:t>
      </w:r>
      <w:r w:rsidR="00C409AD">
        <w:rPr>
          <w:lang w:eastAsia="zh-CN"/>
        </w:rPr>
        <w:t xml:space="preserve">have </w:t>
      </w:r>
      <w:r w:rsidRPr="00B43A4A">
        <w:rPr>
          <w:lang w:eastAsia="zh-CN"/>
        </w:rPr>
        <w:t>discuss</w:t>
      </w:r>
      <w:r w:rsidR="00060A2D" w:rsidRPr="00B43A4A">
        <w:rPr>
          <w:lang w:eastAsia="zh-CN"/>
        </w:rPr>
        <w:t>ed</w:t>
      </w:r>
      <w:r w:rsidRPr="00B43A4A">
        <w:rPr>
          <w:lang w:eastAsia="zh-CN"/>
        </w:rPr>
        <w:t xml:space="preserve"> the</w:t>
      </w:r>
      <w:r w:rsidR="00060A2D" w:rsidRPr="00B43A4A">
        <w:rPr>
          <w:lang w:eastAsia="zh-CN"/>
        </w:rPr>
        <w:t xml:space="preserve"> </w:t>
      </w:r>
      <w:r w:rsidR="00C409AD">
        <w:rPr>
          <w:lang w:eastAsia="zh-CN"/>
        </w:rPr>
        <w:t xml:space="preserve">detail of the SRS triggering signaling </w:t>
      </w:r>
      <w:r w:rsidR="00EB03A6">
        <w:rPr>
          <w:lang w:eastAsia="zh-CN"/>
        </w:rPr>
        <w:t xml:space="preserve">in the SRS parameter set for DCI Format 4B </w:t>
      </w:r>
      <w:r w:rsidR="00C409AD">
        <w:rPr>
          <w:lang w:eastAsia="zh-CN"/>
        </w:rPr>
        <w:t xml:space="preserve">and </w:t>
      </w:r>
      <w:r w:rsidR="00060A2D" w:rsidRPr="00B43A4A">
        <w:rPr>
          <w:lang w:eastAsia="zh-CN"/>
        </w:rPr>
        <w:t>proposed the following:</w:t>
      </w:r>
      <w:r w:rsidRPr="00B43A4A">
        <w:rPr>
          <w:lang w:eastAsia="zh-CN"/>
        </w:rPr>
        <w:t xml:space="preserve">  </w:t>
      </w:r>
    </w:p>
    <w:p w:rsidR="008C0820" w:rsidRPr="00F52C31" w:rsidRDefault="008C0820" w:rsidP="00F52C31">
      <w:pPr>
        <w:pStyle w:val="CommentText"/>
      </w:pPr>
      <w:r w:rsidRPr="00951571">
        <w:rPr>
          <w:b/>
          <w:u w:val="single"/>
        </w:rPr>
        <w:lastRenderedPageBreak/>
        <w:t>Proposal 1</w:t>
      </w:r>
      <w:r>
        <w:t>: Location of SRS subframe is determined relative to the first subframe of the multi-subframe scheduling burst.</w:t>
      </w:r>
    </w:p>
    <w:p w:rsidR="00C409AD" w:rsidRDefault="00C409AD" w:rsidP="00C409AD">
      <w:pPr>
        <w:spacing w:before="60" w:after="60"/>
        <w:jc w:val="both"/>
        <w:rPr>
          <w:lang w:eastAsia="zh-CN"/>
        </w:rPr>
      </w:pPr>
      <w:r w:rsidRPr="00054366">
        <w:rPr>
          <w:b/>
          <w:u w:val="single"/>
          <w:lang w:eastAsia="zh-CN"/>
        </w:rPr>
        <w:t>Proposal</w:t>
      </w:r>
      <w:r w:rsidR="008C0820">
        <w:rPr>
          <w:b/>
          <w:u w:val="single"/>
          <w:lang w:eastAsia="zh-CN"/>
        </w:rPr>
        <w:t xml:space="preserve"> 2</w:t>
      </w:r>
      <w:r>
        <w:rPr>
          <w:lang w:eastAsia="zh-CN"/>
        </w:rPr>
        <w:t xml:space="preserve">: For SRS triggered by MSF DCI format 4B, the </w:t>
      </w:r>
      <w:r w:rsidR="00BA4AF4">
        <w:rPr>
          <w:lang w:eastAsia="zh-CN"/>
        </w:rPr>
        <w:t xml:space="preserve">SRS </w:t>
      </w:r>
      <w:r>
        <w:rPr>
          <w:lang w:eastAsia="zh-CN"/>
        </w:rPr>
        <w:t xml:space="preserve">subframe location </w:t>
      </w:r>
      <w:r w:rsidR="00BA4AF4">
        <w:rPr>
          <w:lang w:eastAsia="zh-CN"/>
        </w:rPr>
        <w:t xml:space="preserve">relative to the </w:t>
      </w:r>
      <w:r w:rsidR="00951571">
        <w:rPr>
          <w:lang w:eastAsia="zh-CN"/>
        </w:rPr>
        <w:t>first subframe</w:t>
      </w:r>
      <w:r w:rsidR="00BA4AF4">
        <w:rPr>
          <w:lang w:eastAsia="zh-CN"/>
        </w:rPr>
        <w:t xml:space="preserve"> of the multi-subframe scheduling burst</w:t>
      </w:r>
      <w:r w:rsidR="00BA4AF4" w:rsidDel="00BA4AF4">
        <w:rPr>
          <w:lang w:eastAsia="zh-CN"/>
        </w:rPr>
        <w:t xml:space="preserve"> </w:t>
      </w:r>
      <w:r>
        <w:rPr>
          <w:lang w:eastAsia="zh-CN"/>
        </w:rPr>
        <w:t xml:space="preserve"> </w:t>
      </w:r>
      <w:bookmarkStart w:id="3" w:name="_GoBack"/>
      <w:bookmarkEnd w:id="3"/>
      <w:r>
        <w:rPr>
          <w:lang w:eastAsia="zh-CN"/>
        </w:rPr>
        <w:t>is given by</w:t>
      </w:r>
    </w:p>
    <w:p w:rsidR="00C409AD" w:rsidRDefault="00C409AD" w:rsidP="00C409AD">
      <w:pPr>
        <w:spacing w:before="60" w:after="60"/>
        <w:jc w:val="center"/>
        <w:rPr>
          <w:lang w:eastAsia="zh-CN"/>
        </w:rPr>
      </w:pPr>
      <w:r>
        <w:rPr>
          <w:lang w:eastAsia="zh-CN"/>
        </w:rPr>
        <w:t>n = mod (x, the number of scheduled subframes),</w:t>
      </w:r>
    </w:p>
    <w:p w:rsidR="00D52219" w:rsidRDefault="00C409AD" w:rsidP="00F52C31">
      <w:pPr>
        <w:spacing w:before="60" w:after="60"/>
        <w:jc w:val="both"/>
      </w:pPr>
      <w:r>
        <w:rPr>
          <w:lang w:eastAsia="zh-CN"/>
        </w:rPr>
        <w:t>where x is the value of the SRS subframe indication in the SRS parameter set configuration.</w:t>
      </w:r>
    </w:p>
    <w:p w:rsidR="00D92D73" w:rsidRPr="005570E8" w:rsidRDefault="00D92D73" w:rsidP="00B13B93">
      <w:pPr>
        <w:jc w:val="both"/>
      </w:pPr>
    </w:p>
    <w:p w:rsidR="00883B22" w:rsidRDefault="00883B22" w:rsidP="00883B22">
      <w:pPr>
        <w:rPr>
          <w:lang w:eastAsia="zh-CN"/>
        </w:rPr>
      </w:pPr>
    </w:p>
    <w:bookmarkEnd w:id="1"/>
    <w:bookmarkEnd w:id="2"/>
    <w:p w:rsidR="00D60770" w:rsidRPr="00B43A4A" w:rsidRDefault="00D60770" w:rsidP="00964842">
      <w:pPr>
        <w:jc w:val="both"/>
        <w:rPr>
          <w:rFonts w:eastAsiaTheme="minorEastAsia"/>
          <w:sz w:val="22"/>
          <w:szCs w:val="22"/>
          <w:lang w:eastAsia="zh-CN"/>
        </w:rPr>
      </w:pPr>
    </w:p>
    <w:sectPr w:rsidR="00D60770" w:rsidRPr="00B43A4A" w:rsidSect="00C565A7">
      <w:headerReference w:type="even" r:id="rId10"/>
      <w:footerReference w:type="even" r:id="rId11"/>
      <w:footerReference w:type="default" r:id="rId12"/>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943" w:rsidRDefault="00DF5943">
      <w:r>
        <w:separator/>
      </w:r>
    </w:p>
  </w:endnote>
  <w:endnote w:type="continuationSeparator" w:id="0">
    <w:p w:rsidR="00DF5943" w:rsidRDefault="00DF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D6E" w:rsidRDefault="00DB1E28" w:rsidP="00F837DD">
    <w:pPr>
      <w:pStyle w:val="Footer"/>
      <w:framePr w:wrap="around" w:vAnchor="text" w:hAnchor="margin" w:xAlign="right" w:y="1"/>
      <w:rPr>
        <w:rStyle w:val="PageNumber"/>
      </w:rPr>
    </w:pPr>
    <w:r>
      <w:rPr>
        <w:rStyle w:val="PageNumber"/>
      </w:rPr>
      <w:fldChar w:fldCharType="begin"/>
    </w:r>
    <w:r w:rsidR="009F3D6E">
      <w:rPr>
        <w:rStyle w:val="PageNumber"/>
      </w:rPr>
      <w:instrText xml:space="preserve">PAGE  </w:instrText>
    </w:r>
    <w:r>
      <w:rPr>
        <w:rStyle w:val="PageNumber"/>
      </w:rPr>
      <w:fldChar w:fldCharType="end"/>
    </w:r>
  </w:p>
  <w:p w:rsidR="009F3D6E" w:rsidRDefault="009F3D6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D6E" w:rsidRDefault="00DB1E28" w:rsidP="00450D3B">
    <w:pPr>
      <w:pStyle w:val="Footer"/>
      <w:ind w:right="360"/>
    </w:pPr>
    <w:r>
      <w:rPr>
        <w:rStyle w:val="PageNumber"/>
      </w:rPr>
      <w:fldChar w:fldCharType="begin"/>
    </w:r>
    <w:r w:rsidR="009F3D6E">
      <w:rPr>
        <w:rStyle w:val="PageNumber"/>
      </w:rPr>
      <w:instrText xml:space="preserve"> PAGE </w:instrText>
    </w:r>
    <w:r>
      <w:rPr>
        <w:rStyle w:val="PageNumber"/>
      </w:rPr>
      <w:fldChar w:fldCharType="separate"/>
    </w:r>
    <w:r w:rsidR="00F52C31">
      <w:rPr>
        <w:rStyle w:val="PageNumber"/>
      </w:rPr>
      <w:t>1</w:t>
    </w:r>
    <w:r>
      <w:rPr>
        <w:rStyle w:val="PageNumber"/>
      </w:rPr>
      <w:fldChar w:fldCharType="end"/>
    </w:r>
    <w:r w:rsidR="009F3D6E">
      <w:rPr>
        <w:rStyle w:val="PageNumber"/>
      </w:rPr>
      <w:t>/</w:t>
    </w:r>
    <w:r>
      <w:rPr>
        <w:rStyle w:val="PageNumber"/>
      </w:rPr>
      <w:fldChar w:fldCharType="begin"/>
    </w:r>
    <w:r w:rsidR="009F3D6E">
      <w:rPr>
        <w:rStyle w:val="PageNumber"/>
      </w:rPr>
      <w:instrText xml:space="preserve"> NUMPAGES </w:instrText>
    </w:r>
    <w:r>
      <w:rPr>
        <w:rStyle w:val="PageNumber"/>
      </w:rPr>
      <w:fldChar w:fldCharType="separate"/>
    </w:r>
    <w:r w:rsidR="00F52C3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943" w:rsidRDefault="00DF5943">
      <w:r>
        <w:separator/>
      </w:r>
    </w:p>
  </w:footnote>
  <w:footnote w:type="continuationSeparator" w:id="0">
    <w:p w:rsidR="00DF5943" w:rsidRDefault="00DF5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D6E" w:rsidRDefault="009F3D6E">
    <w:r>
      <w:t xml:space="preserve">Page </w:t>
    </w:r>
    <w:r w:rsidR="00DB1E28">
      <w:fldChar w:fldCharType="begin"/>
    </w:r>
    <w:r w:rsidR="00F72F33">
      <w:instrText>PAGE</w:instrText>
    </w:r>
    <w:r w:rsidR="00DB1E28">
      <w:fldChar w:fldCharType="separate"/>
    </w:r>
    <w:r>
      <w:rPr>
        <w:noProof/>
      </w:rPr>
      <w:t>1</w:t>
    </w:r>
    <w:r w:rsidR="00DB1E28">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2117E"/>
    <w:multiLevelType w:val="multilevel"/>
    <w:tmpl w:val="1396E6E8"/>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sz w:val="28"/>
        <w:szCs w:val="28"/>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0D30280D"/>
    <w:multiLevelType w:val="hybridMultilevel"/>
    <w:tmpl w:val="4778490E"/>
    <w:lvl w:ilvl="0" w:tplc="8D94DEF8">
      <w:start w:val="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B8F2254"/>
    <w:multiLevelType w:val="hybridMultilevel"/>
    <w:tmpl w:val="45485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BB5777"/>
    <w:multiLevelType w:val="hybridMultilevel"/>
    <w:tmpl w:val="527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078"/>
    <w:rsid w:val="000004BF"/>
    <w:rsid w:val="00000515"/>
    <w:rsid w:val="00000F40"/>
    <w:rsid w:val="0000140A"/>
    <w:rsid w:val="00001FC3"/>
    <w:rsid w:val="00002031"/>
    <w:rsid w:val="00002BA1"/>
    <w:rsid w:val="00002D00"/>
    <w:rsid w:val="00003131"/>
    <w:rsid w:val="00003231"/>
    <w:rsid w:val="000037FB"/>
    <w:rsid w:val="00004961"/>
    <w:rsid w:val="00004A1B"/>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2691"/>
    <w:rsid w:val="000129A5"/>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815"/>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2C8E"/>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366"/>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414"/>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750"/>
    <w:rsid w:val="00092BBA"/>
    <w:rsid w:val="000931C3"/>
    <w:rsid w:val="00093482"/>
    <w:rsid w:val="00093B89"/>
    <w:rsid w:val="00094421"/>
    <w:rsid w:val="000944EE"/>
    <w:rsid w:val="00094EF2"/>
    <w:rsid w:val="0009537B"/>
    <w:rsid w:val="000959E4"/>
    <w:rsid w:val="0009709B"/>
    <w:rsid w:val="00097D07"/>
    <w:rsid w:val="000A0B69"/>
    <w:rsid w:val="000A0E99"/>
    <w:rsid w:val="000A194C"/>
    <w:rsid w:val="000A19B6"/>
    <w:rsid w:val="000A1D49"/>
    <w:rsid w:val="000A1FB3"/>
    <w:rsid w:val="000A26E9"/>
    <w:rsid w:val="000A299F"/>
    <w:rsid w:val="000A2AA6"/>
    <w:rsid w:val="000A2E0B"/>
    <w:rsid w:val="000A33AB"/>
    <w:rsid w:val="000A356B"/>
    <w:rsid w:val="000A395E"/>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8F6"/>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0D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A55"/>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0D10"/>
    <w:rsid w:val="001310F5"/>
    <w:rsid w:val="00131426"/>
    <w:rsid w:val="00131875"/>
    <w:rsid w:val="00131AC6"/>
    <w:rsid w:val="001322B0"/>
    <w:rsid w:val="00132502"/>
    <w:rsid w:val="00132917"/>
    <w:rsid w:val="00132DC4"/>
    <w:rsid w:val="00133991"/>
    <w:rsid w:val="00133EE7"/>
    <w:rsid w:val="001344C1"/>
    <w:rsid w:val="00134597"/>
    <w:rsid w:val="00134B91"/>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4F9"/>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C9"/>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8A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15C"/>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5E5"/>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6D0"/>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1F7EE1"/>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68F"/>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9E5"/>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0826"/>
    <w:rsid w:val="002512A9"/>
    <w:rsid w:val="0025169E"/>
    <w:rsid w:val="00251929"/>
    <w:rsid w:val="00251F5E"/>
    <w:rsid w:val="002522F8"/>
    <w:rsid w:val="00252C5E"/>
    <w:rsid w:val="00252E50"/>
    <w:rsid w:val="002530D6"/>
    <w:rsid w:val="0025325D"/>
    <w:rsid w:val="00253400"/>
    <w:rsid w:val="002537CB"/>
    <w:rsid w:val="00254012"/>
    <w:rsid w:val="00254C77"/>
    <w:rsid w:val="002552DC"/>
    <w:rsid w:val="0025540E"/>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59D"/>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4A1"/>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1A9"/>
    <w:rsid w:val="0028182A"/>
    <w:rsid w:val="00282055"/>
    <w:rsid w:val="002829A2"/>
    <w:rsid w:val="00283216"/>
    <w:rsid w:val="0028322E"/>
    <w:rsid w:val="0028381F"/>
    <w:rsid w:val="00283B1A"/>
    <w:rsid w:val="002841AB"/>
    <w:rsid w:val="00284B31"/>
    <w:rsid w:val="0028515D"/>
    <w:rsid w:val="00285894"/>
    <w:rsid w:val="00285BF6"/>
    <w:rsid w:val="0028621E"/>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730"/>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3DA5"/>
    <w:rsid w:val="002B4B75"/>
    <w:rsid w:val="002B4C5C"/>
    <w:rsid w:val="002B4DF9"/>
    <w:rsid w:val="002B4FD7"/>
    <w:rsid w:val="002B4FE2"/>
    <w:rsid w:val="002B6330"/>
    <w:rsid w:val="002B7C8F"/>
    <w:rsid w:val="002C04C6"/>
    <w:rsid w:val="002C0779"/>
    <w:rsid w:val="002C138C"/>
    <w:rsid w:val="002C1ADF"/>
    <w:rsid w:val="002C1CD3"/>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3134"/>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1FE8"/>
    <w:rsid w:val="003022DE"/>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2521"/>
    <w:rsid w:val="00333077"/>
    <w:rsid w:val="00333DC8"/>
    <w:rsid w:val="00334724"/>
    <w:rsid w:val="00335250"/>
    <w:rsid w:val="003354D4"/>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47A"/>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4DF3"/>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7D9"/>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350"/>
    <w:rsid w:val="004024AB"/>
    <w:rsid w:val="004028B9"/>
    <w:rsid w:val="004028E2"/>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94A"/>
    <w:rsid w:val="004169CA"/>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319B"/>
    <w:rsid w:val="00423CBC"/>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5E68"/>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1E5"/>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764"/>
    <w:rsid w:val="00491A38"/>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2B8"/>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0FF"/>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D4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E9C"/>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BE3"/>
    <w:rsid w:val="004F3DD1"/>
    <w:rsid w:val="004F4165"/>
    <w:rsid w:val="004F420A"/>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85E"/>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3A1"/>
    <w:rsid w:val="00513414"/>
    <w:rsid w:val="00513771"/>
    <w:rsid w:val="005137D0"/>
    <w:rsid w:val="00513F8F"/>
    <w:rsid w:val="005147E7"/>
    <w:rsid w:val="005149A2"/>
    <w:rsid w:val="00514D4D"/>
    <w:rsid w:val="005150E4"/>
    <w:rsid w:val="00515585"/>
    <w:rsid w:val="005157A7"/>
    <w:rsid w:val="00515E2B"/>
    <w:rsid w:val="005165D8"/>
    <w:rsid w:val="00516F3E"/>
    <w:rsid w:val="0051721E"/>
    <w:rsid w:val="00517B89"/>
    <w:rsid w:val="00517CD9"/>
    <w:rsid w:val="00517F87"/>
    <w:rsid w:val="0052001B"/>
    <w:rsid w:val="00520515"/>
    <w:rsid w:val="00520B81"/>
    <w:rsid w:val="0052142C"/>
    <w:rsid w:val="005218C6"/>
    <w:rsid w:val="00521CE7"/>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7C1"/>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481"/>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4BE"/>
    <w:rsid w:val="00546738"/>
    <w:rsid w:val="005467D6"/>
    <w:rsid w:val="00546942"/>
    <w:rsid w:val="00546ACE"/>
    <w:rsid w:val="00546F6F"/>
    <w:rsid w:val="00547008"/>
    <w:rsid w:val="00547A7E"/>
    <w:rsid w:val="00547B10"/>
    <w:rsid w:val="00547E6C"/>
    <w:rsid w:val="00547E9B"/>
    <w:rsid w:val="0055011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07E"/>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AAC"/>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2D96"/>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96A"/>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3C7"/>
    <w:rsid w:val="005B44F5"/>
    <w:rsid w:val="005B5209"/>
    <w:rsid w:val="005B5251"/>
    <w:rsid w:val="005B540B"/>
    <w:rsid w:val="005B54FE"/>
    <w:rsid w:val="005B57AF"/>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5B"/>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55AC"/>
    <w:rsid w:val="005E5682"/>
    <w:rsid w:val="005E6F93"/>
    <w:rsid w:val="005E7698"/>
    <w:rsid w:val="005E77D7"/>
    <w:rsid w:val="005F0C46"/>
    <w:rsid w:val="005F1FE4"/>
    <w:rsid w:val="005F2641"/>
    <w:rsid w:val="005F374F"/>
    <w:rsid w:val="005F3F7F"/>
    <w:rsid w:val="005F476A"/>
    <w:rsid w:val="005F4950"/>
    <w:rsid w:val="005F4A23"/>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478E"/>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82E"/>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0CF2"/>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2A1"/>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3E8A"/>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5A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4DDB"/>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783"/>
    <w:rsid w:val="006D1F1A"/>
    <w:rsid w:val="006D1F78"/>
    <w:rsid w:val="006D21FF"/>
    <w:rsid w:val="006D239D"/>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1FCD"/>
    <w:rsid w:val="006E22CC"/>
    <w:rsid w:val="006E253C"/>
    <w:rsid w:val="006E2F16"/>
    <w:rsid w:val="006E33F1"/>
    <w:rsid w:val="006E3B45"/>
    <w:rsid w:val="006E3C1B"/>
    <w:rsid w:val="006E3DB4"/>
    <w:rsid w:val="006E4BB1"/>
    <w:rsid w:val="006E512D"/>
    <w:rsid w:val="006E53A6"/>
    <w:rsid w:val="006E5B88"/>
    <w:rsid w:val="006E5C3A"/>
    <w:rsid w:val="006E6691"/>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44F"/>
    <w:rsid w:val="006F46F6"/>
    <w:rsid w:val="006F4B29"/>
    <w:rsid w:val="006F51D3"/>
    <w:rsid w:val="006F57A2"/>
    <w:rsid w:val="006F59D4"/>
    <w:rsid w:val="006F59F3"/>
    <w:rsid w:val="006F5CDF"/>
    <w:rsid w:val="006F63BC"/>
    <w:rsid w:val="006F7683"/>
    <w:rsid w:val="006F77DC"/>
    <w:rsid w:val="006F7E42"/>
    <w:rsid w:val="006F7F9F"/>
    <w:rsid w:val="0070023A"/>
    <w:rsid w:val="00700C38"/>
    <w:rsid w:val="00700D6C"/>
    <w:rsid w:val="007014E9"/>
    <w:rsid w:val="0070193E"/>
    <w:rsid w:val="00701B01"/>
    <w:rsid w:val="00701B61"/>
    <w:rsid w:val="00701F6B"/>
    <w:rsid w:val="007023B7"/>
    <w:rsid w:val="007033F3"/>
    <w:rsid w:val="007036E5"/>
    <w:rsid w:val="007038D1"/>
    <w:rsid w:val="00703AC0"/>
    <w:rsid w:val="007042A1"/>
    <w:rsid w:val="007042F4"/>
    <w:rsid w:val="0070446D"/>
    <w:rsid w:val="007047A6"/>
    <w:rsid w:val="00704C05"/>
    <w:rsid w:val="007050AC"/>
    <w:rsid w:val="00705C2B"/>
    <w:rsid w:val="00706152"/>
    <w:rsid w:val="007061B7"/>
    <w:rsid w:val="00706C64"/>
    <w:rsid w:val="00706CF1"/>
    <w:rsid w:val="00706D73"/>
    <w:rsid w:val="00706D88"/>
    <w:rsid w:val="00706E42"/>
    <w:rsid w:val="007073C8"/>
    <w:rsid w:val="00707B8E"/>
    <w:rsid w:val="007101B4"/>
    <w:rsid w:val="00710994"/>
    <w:rsid w:val="007109E9"/>
    <w:rsid w:val="00710BFD"/>
    <w:rsid w:val="00710D33"/>
    <w:rsid w:val="00710FF5"/>
    <w:rsid w:val="0071129C"/>
    <w:rsid w:val="00711690"/>
    <w:rsid w:val="007119D4"/>
    <w:rsid w:val="00711AE4"/>
    <w:rsid w:val="00712068"/>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3C3"/>
    <w:rsid w:val="00743109"/>
    <w:rsid w:val="00743EA1"/>
    <w:rsid w:val="00744055"/>
    <w:rsid w:val="00744F4E"/>
    <w:rsid w:val="00744F88"/>
    <w:rsid w:val="00744FA3"/>
    <w:rsid w:val="0074576E"/>
    <w:rsid w:val="00746B15"/>
    <w:rsid w:val="00746E36"/>
    <w:rsid w:val="00746EDA"/>
    <w:rsid w:val="007472BB"/>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13"/>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BBE"/>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03"/>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542F"/>
    <w:rsid w:val="007E6058"/>
    <w:rsid w:val="007E657A"/>
    <w:rsid w:val="007E686B"/>
    <w:rsid w:val="007E688A"/>
    <w:rsid w:val="007E6D7F"/>
    <w:rsid w:val="007E6DA8"/>
    <w:rsid w:val="007E6F07"/>
    <w:rsid w:val="007E72BB"/>
    <w:rsid w:val="007F0059"/>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5F1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C58"/>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150"/>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BD2"/>
    <w:rsid w:val="00837CF6"/>
    <w:rsid w:val="00837D87"/>
    <w:rsid w:val="008403C6"/>
    <w:rsid w:val="00840634"/>
    <w:rsid w:val="00840CF5"/>
    <w:rsid w:val="00841055"/>
    <w:rsid w:val="008415C8"/>
    <w:rsid w:val="00841632"/>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B22"/>
    <w:rsid w:val="00883C93"/>
    <w:rsid w:val="00883ED6"/>
    <w:rsid w:val="008847BA"/>
    <w:rsid w:val="00885359"/>
    <w:rsid w:val="0088579F"/>
    <w:rsid w:val="00885B2E"/>
    <w:rsid w:val="00885C5A"/>
    <w:rsid w:val="008864A5"/>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6A66"/>
    <w:rsid w:val="008970B5"/>
    <w:rsid w:val="008971BC"/>
    <w:rsid w:val="008971D9"/>
    <w:rsid w:val="008A00DC"/>
    <w:rsid w:val="008A0473"/>
    <w:rsid w:val="008A07B0"/>
    <w:rsid w:val="008A0B7B"/>
    <w:rsid w:val="008A0F77"/>
    <w:rsid w:val="008A1450"/>
    <w:rsid w:val="008A189C"/>
    <w:rsid w:val="008A24BD"/>
    <w:rsid w:val="008A2862"/>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65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20"/>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11D"/>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27F"/>
    <w:rsid w:val="008E5B64"/>
    <w:rsid w:val="008E5D5A"/>
    <w:rsid w:val="008E6228"/>
    <w:rsid w:val="008E6440"/>
    <w:rsid w:val="008E693A"/>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829"/>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1C20"/>
    <w:rsid w:val="00932410"/>
    <w:rsid w:val="009324B1"/>
    <w:rsid w:val="009325D4"/>
    <w:rsid w:val="009325DE"/>
    <w:rsid w:val="009327B5"/>
    <w:rsid w:val="00932AC4"/>
    <w:rsid w:val="00932F52"/>
    <w:rsid w:val="00933D87"/>
    <w:rsid w:val="00933DE4"/>
    <w:rsid w:val="00935B9E"/>
    <w:rsid w:val="00935D9F"/>
    <w:rsid w:val="009365EB"/>
    <w:rsid w:val="00936816"/>
    <w:rsid w:val="00936ED0"/>
    <w:rsid w:val="00936F26"/>
    <w:rsid w:val="009404CE"/>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5FBB"/>
    <w:rsid w:val="009462D8"/>
    <w:rsid w:val="00946388"/>
    <w:rsid w:val="0094752E"/>
    <w:rsid w:val="0095014D"/>
    <w:rsid w:val="00950C6B"/>
    <w:rsid w:val="0095136F"/>
    <w:rsid w:val="00951571"/>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177"/>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13C"/>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1BF0"/>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688"/>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D6E"/>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201"/>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2E2"/>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9B1"/>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BD5"/>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6DB"/>
    <w:rsid w:val="00A739D9"/>
    <w:rsid w:val="00A73D92"/>
    <w:rsid w:val="00A73FEE"/>
    <w:rsid w:val="00A74086"/>
    <w:rsid w:val="00A74E04"/>
    <w:rsid w:val="00A74F6C"/>
    <w:rsid w:val="00A750D3"/>
    <w:rsid w:val="00A75212"/>
    <w:rsid w:val="00A756B0"/>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E89"/>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6B1D"/>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7AC"/>
    <w:rsid w:val="00AE69BD"/>
    <w:rsid w:val="00AE6D12"/>
    <w:rsid w:val="00AE7FA8"/>
    <w:rsid w:val="00AF0A8F"/>
    <w:rsid w:val="00AF17A6"/>
    <w:rsid w:val="00AF1B70"/>
    <w:rsid w:val="00AF1CCB"/>
    <w:rsid w:val="00AF1EFC"/>
    <w:rsid w:val="00AF2092"/>
    <w:rsid w:val="00AF2480"/>
    <w:rsid w:val="00AF2CA9"/>
    <w:rsid w:val="00AF2DE9"/>
    <w:rsid w:val="00AF34D4"/>
    <w:rsid w:val="00AF36A4"/>
    <w:rsid w:val="00AF3978"/>
    <w:rsid w:val="00AF39F0"/>
    <w:rsid w:val="00AF3C8C"/>
    <w:rsid w:val="00AF44CB"/>
    <w:rsid w:val="00AF457C"/>
    <w:rsid w:val="00AF461C"/>
    <w:rsid w:val="00AF5363"/>
    <w:rsid w:val="00AF5494"/>
    <w:rsid w:val="00AF5CB8"/>
    <w:rsid w:val="00AF5F78"/>
    <w:rsid w:val="00AF66F1"/>
    <w:rsid w:val="00AF683D"/>
    <w:rsid w:val="00B00306"/>
    <w:rsid w:val="00B010D3"/>
    <w:rsid w:val="00B0118C"/>
    <w:rsid w:val="00B016BA"/>
    <w:rsid w:val="00B01CC2"/>
    <w:rsid w:val="00B01ED6"/>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6BC"/>
    <w:rsid w:val="00B068DB"/>
    <w:rsid w:val="00B06B07"/>
    <w:rsid w:val="00B07226"/>
    <w:rsid w:val="00B07988"/>
    <w:rsid w:val="00B07C62"/>
    <w:rsid w:val="00B10062"/>
    <w:rsid w:val="00B11180"/>
    <w:rsid w:val="00B11AC8"/>
    <w:rsid w:val="00B12731"/>
    <w:rsid w:val="00B13605"/>
    <w:rsid w:val="00B13818"/>
    <w:rsid w:val="00B13B93"/>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2C2"/>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19"/>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A4A"/>
    <w:rsid w:val="00B43D25"/>
    <w:rsid w:val="00B43F5C"/>
    <w:rsid w:val="00B4459A"/>
    <w:rsid w:val="00B4485B"/>
    <w:rsid w:val="00B448C2"/>
    <w:rsid w:val="00B462E5"/>
    <w:rsid w:val="00B46C29"/>
    <w:rsid w:val="00B46DF3"/>
    <w:rsid w:val="00B4783F"/>
    <w:rsid w:val="00B47CEF"/>
    <w:rsid w:val="00B50D90"/>
    <w:rsid w:val="00B51C55"/>
    <w:rsid w:val="00B51CF7"/>
    <w:rsid w:val="00B5231D"/>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7C"/>
    <w:rsid w:val="00B61AE0"/>
    <w:rsid w:val="00B6206A"/>
    <w:rsid w:val="00B62823"/>
    <w:rsid w:val="00B62A17"/>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3"/>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CF0"/>
    <w:rsid w:val="00B97013"/>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AF4"/>
    <w:rsid w:val="00BA4E7C"/>
    <w:rsid w:val="00BA50A6"/>
    <w:rsid w:val="00BA50B2"/>
    <w:rsid w:val="00BA5EFB"/>
    <w:rsid w:val="00BA617B"/>
    <w:rsid w:val="00BA659A"/>
    <w:rsid w:val="00BA65D8"/>
    <w:rsid w:val="00BA68C1"/>
    <w:rsid w:val="00BA6CB2"/>
    <w:rsid w:val="00BA72DE"/>
    <w:rsid w:val="00BA7E85"/>
    <w:rsid w:val="00BA7EB0"/>
    <w:rsid w:val="00BB022B"/>
    <w:rsid w:val="00BB0528"/>
    <w:rsid w:val="00BB1685"/>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B7EBB"/>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78"/>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5959"/>
    <w:rsid w:val="00BE65B3"/>
    <w:rsid w:val="00BE69FE"/>
    <w:rsid w:val="00BE742D"/>
    <w:rsid w:val="00BE7A1F"/>
    <w:rsid w:val="00BF0002"/>
    <w:rsid w:val="00BF01B2"/>
    <w:rsid w:val="00BF05AF"/>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4D9B"/>
    <w:rsid w:val="00C35133"/>
    <w:rsid w:val="00C3566B"/>
    <w:rsid w:val="00C35B23"/>
    <w:rsid w:val="00C36064"/>
    <w:rsid w:val="00C36080"/>
    <w:rsid w:val="00C3656C"/>
    <w:rsid w:val="00C36BFA"/>
    <w:rsid w:val="00C37050"/>
    <w:rsid w:val="00C37EFE"/>
    <w:rsid w:val="00C4018E"/>
    <w:rsid w:val="00C4081F"/>
    <w:rsid w:val="00C409AD"/>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7DE"/>
    <w:rsid w:val="00C46896"/>
    <w:rsid w:val="00C46C3A"/>
    <w:rsid w:val="00C47283"/>
    <w:rsid w:val="00C479D8"/>
    <w:rsid w:val="00C47AE8"/>
    <w:rsid w:val="00C50066"/>
    <w:rsid w:val="00C5011A"/>
    <w:rsid w:val="00C5017F"/>
    <w:rsid w:val="00C50506"/>
    <w:rsid w:val="00C5088F"/>
    <w:rsid w:val="00C50896"/>
    <w:rsid w:val="00C50E77"/>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3F2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619"/>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4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395"/>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4CD"/>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4D80"/>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382"/>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C2D"/>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2C2"/>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219"/>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175"/>
    <w:rsid w:val="00D6521C"/>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D73"/>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ACD"/>
    <w:rsid w:val="00DA1D80"/>
    <w:rsid w:val="00DA1DA3"/>
    <w:rsid w:val="00DA2046"/>
    <w:rsid w:val="00DA28BC"/>
    <w:rsid w:val="00DA29DD"/>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1E28"/>
    <w:rsid w:val="00DB220E"/>
    <w:rsid w:val="00DB2559"/>
    <w:rsid w:val="00DB2F57"/>
    <w:rsid w:val="00DB2FBB"/>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A31"/>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30D"/>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731"/>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7CF"/>
    <w:rsid w:val="00DF4D70"/>
    <w:rsid w:val="00DF4F19"/>
    <w:rsid w:val="00DF5270"/>
    <w:rsid w:val="00DF5441"/>
    <w:rsid w:val="00DF5943"/>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A12"/>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32"/>
    <w:rsid w:val="00E250DB"/>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F4"/>
    <w:rsid w:val="00E37511"/>
    <w:rsid w:val="00E377BF"/>
    <w:rsid w:val="00E40FAA"/>
    <w:rsid w:val="00E417BC"/>
    <w:rsid w:val="00E418CD"/>
    <w:rsid w:val="00E4193A"/>
    <w:rsid w:val="00E41A95"/>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27"/>
    <w:rsid w:val="00E55335"/>
    <w:rsid w:val="00E55D2A"/>
    <w:rsid w:val="00E55E20"/>
    <w:rsid w:val="00E561FF"/>
    <w:rsid w:val="00E56C00"/>
    <w:rsid w:val="00E56F26"/>
    <w:rsid w:val="00E574D2"/>
    <w:rsid w:val="00E57FA4"/>
    <w:rsid w:val="00E57FD4"/>
    <w:rsid w:val="00E60116"/>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C88"/>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A29"/>
    <w:rsid w:val="00EA5DE5"/>
    <w:rsid w:val="00EA6C61"/>
    <w:rsid w:val="00EA6EA5"/>
    <w:rsid w:val="00EA7045"/>
    <w:rsid w:val="00EA7547"/>
    <w:rsid w:val="00EA7744"/>
    <w:rsid w:val="00EB03A6"/>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73C"/>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46A0"/>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022"/>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276"/>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5535"/>
    <w:rsid w:val="00F463BD"/>
    <w:rsid w:val="00F46C77"/>
    <w:rsid w:val="00F47AFE"/>
    <w:rsid w:val="00F47DF9"/>
    <w:rsid w:val="00F50020"/>
    <w:rsid w:val="00F50849"/>
    <w:rsid w:val="00F50F51"/>
    <w:rsid w:val="00F50F92"/>
    <w:rsid w:val="00F51318"/>
    <w:rsid w:val="00F51929"/>
    <w:rsid w:val="00F51A64"/>
    <w:rsid w:val="00F52672"/>
    <w:rsid w:val="00F52A4B"/>
    <w:rsid w:val="00F52C31"/>
    <w:rsid w:val="00F53039"/>
    <w:rsid w:val="00F53043"/>
    <w:rsid w:val="00F53A70"/>
    <w:rsid w:val="00F53E2D"/>
    <w:rsid w:val="00F542D8"/>
    <w:rsid w:val="00F548C8"/>
    <w:rsid w:val="00F55A3B"/>
    <w:rsid w:val="00F569F9"/>
    <w:rsid w:val="00F56A8E"/>
    <w:rsid w:val="00F56DAD"/>
    <w:rsid w:val="00F56EC9"/>
    <w:rsid w:val="00F56FA8"/>
    <w:rsid w:val="00F5765A"/>
    <w:rsid w:val="00F57910"/>
    <w:rsid w:val="00F57A55"/>
    <w:rsid w:val="00F57C72"/>
    <w:rsid w:val="00F60802"/>
    <w:rsid w:val="00F60B31"/>
    <w:rsid w:val="00F60FA3"/>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58A3"/>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2F33"/>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901"/>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673"/>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C0A"/>
    <w:rsid w:val="00FA0D54"/>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7FC"/>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0CDF"/>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2E1D"/>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2DCD"/>
    <w:rsid w:val="00FF30D7"/>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4229348-F7EE-452C-8074-AD09C91F9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2"/>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247038">
      <w:bodyDiv w:val="1"/>
      <w:marLeft w:val="0"/>
      <w:marRight w:val="0"/>
      <w:marTop w:val="0"/>
      <w:marBottom w:val="0"/>
      <w:divBdr>
        <w:top w:val="none" w:sz="0" w:space="0" w:color="auto"/>
        <w:left w:val="none" w:sz="0" w:space="0" w:color="auto"/>
        <w:bottom w:val="none" w:sz="0" w:space="0" w:color="auto"/>
        <w:right w:val="none" w:sz="0" w:space="0" w:color="auto"/>
      </w:divBdr>
      <w:divsChild>
        <w:div w:id="40524936">
          <w:marLeft w:val="720"/>
          <w:marRight w:val="0"/>
          <w:marTop w:val="0"/>
          <w:marBottom w:val="120"/>
          <w:divBdr>
            <w:top w:val="none" w:sz="0" w:space="0" w:color="auto"/>
            <w:left w:val="none" w:sz="0" w:space="0" w:color="auto"/>
            <w:bottom w:val="none" w:sz="0" w:space="0" w:color="auto"/>
            <w:right w:val="none" w:sz="0" w:space="0" w:color="auto"/>
          </w:divBdr>
        </w:div>
        <w:div w:id="1918711899">
          <w:marLeft w:val="720"/>
          <w:marRight w:val="0"/>
          <w:marTop w:val="0"/>
          <w:marBottom w:val="120"/>
          <w:divBdr>
            <w:top w:val="none" w:sz="0" w:space="0" w:color="auto"/>
            <w:left w:val="none" w:sz="0" w:space="0" w:color="auto"/>
            <w:bottom w:val="none" w:sz="0" w:space="0" w:color="auto"/>
            <w:right w:val="none" w:sz="0" w:space="0" w:color="auto"/>
          </w:divBdr>
        </w:div>
      </w:divsChild>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172376207">
      <w:bodyDiv w:val="1"/>
      <w:marLeft w:val="0"/>
      <w:marRight w:val="0"/>
      <w:marTop w:val="0"/>
      <w:marBottom w:val="0"/>
      <w:divBdr>
        <w:top w:val="none" w:sz="0" w:space="0" w:color="auto"/>
        <w:left w:val="none" w:sz="0" w:space="0" w:color="auto"/>
        <w:bottom w:val="none" w:sz="0" w:space="0" w:color="auto"/>
        <w:right w:val="none" w:sz="0" w:space="0" w:color="auto"/>
      </w:divBdr>
      <w:divsChild>
        <w:div w:id="2027100624">
          <w:marLeft w:val="3053"/>
          <w:marRight w:val="0"/>
          <w:marTop w:val="0"/>
          <w:marBottom w:val="0"/>
          <w:divBdr>
            <w:top w:val="none" w:sz="0" w:space="0" w:color="auto"/>
            <w:left w:val="none" w:sz="0" w:space="0" w:color="auto"/>
            <w:bottom w:val="none" w:sz="0" w:space="0" w:color="auto"/>
            <w:right w:val="none" w:sz="0" w:space="0" w:color="auto"/>
          </w:divBdr>
        </w:div>
        <w:div w:id="1609316116">
          <w:marLeft w:val="3053"/>
          <w:marRight w:val="0"/>
          <w:marTop w:val="0"/>
          <w:marBottom w:val="0"/>
          <w:divBdr>
            <w:top w:val="none" w:sz="0" w:space="0" w:color="auto"/>
            <w:left w:val="none" w:sz="0" w:space="0" w:color="auto"/>
            <w:bottom w:val="none" w:sz="0" w:space="0" w:color="auto"/>
            <w:right w:val="none" w:sz="0" w:space="0" w:color="auto"/>
          </w:divBdr>
        </w:div>
        <w:div w:id="146823404">
          <w:marLeft w:val="3053"/>
          <w:marRight w:val="0"/>
          <w:marTop w:val="0"/>
          <w:marBottom w:val="0"/>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391733740">
      <w:bodyDiv w:val="1"/>
      <w:marLeft w:val="0"/>
      <w:marRight w:val="0"/>
      <w:marTop w:val="0"/>
      <w:marBottom w:val="0"/>
      <w:divBdr>
        <w:top w:val="none" w:sz="0" w:space="0" w:color="auto"/>
        <w:left w:val="none" w:sz="0" w:space="0" w:color="auto"/>
        <w:bottom w:val="none" w:sz="0" w:space="0" w:color="auto"/>
        <w:right w:val="none" w:sz="0" w:space="0" w:color="auto"/>
      </w:divBdr>
      <w:divsChild>
        <w:div w:id="740175999">
          <w:marLeft w:val="360"/>
          <w:marRight w:val="0"/>
          <w:marTop w:val="0"/>
          <w:marBottom w:val="120"/>
          <w:divBdr>
            <w:top w:val="none" w:sz="0" w:space="0" w:color="auto"/>
            <w:left w:val="none" w:sz="0" w:space="0" w:color="auto"/>
            <w:bottom w:val="none" w:sz="0" w:space="0" w:color="auto"/>
            <w:right w:val="none" w:sz="0" w:space="0" w:color="auto"/>
          </w:divBdr>
        </w:div>
      </w:divsChild>
    </w:div>
    <w:div w:id="422268765">
      <w:bodyDiv w:val="1"/>
      <w:marLeft w:val="0"/>
      <w:marRight w:val="0"/>
      <w:marTop w:val="0"/>
      <w:marBottom w:val="0"/>
      <w:divBdr>
        <w:top w:val="none" w:sz="0" w:space="0" w:color="auto"/>
        <w:left w:val="none" w:sz="0" w:space="0" w:color="auto"/>
        <w:bottom w:val="none" w:sz="0" w:space="0" w:color="auto"/>
        <w:right w:val="none" w:sz="0" w:space="0" w:color="auto"/>
      </w:divBdr>
      <w:divsChild>
        <w:div w:id="300041005">
          <w:marLeft w:val="173"/>
          <w:marRight w:val="0"/>
          <w:marTop w:val="0"/>
          <w:marBottom w:val="0"/>
          <w:divBdr>
            <w:top w:val="none" w:sz="0" w:space="0" w:color="auto"/>
            <w:left w:val="none" w:sz="0" w:space="0" w:color="auto"/>
            <w:bottom w:val="none" w:sz="0" w:space="0" w:color="auto"/>
            <w:right w:val="none" w:sz="0" w:space="0" w:color="auto"/>
          </w:divBdr>
        </w:div>
        <w:div w:id="925380106">
          <w:marLeft w:val="893"/>
          <w:marRight w:val="0"/>
          <w:marTop w:val="0"/>
          <w:marBottom w:val="0"/>
          <w:divBdr>
            <w:top w:val="none" w:sz="0" w:space="0" w:color="auto"/>
            <w:left w:val="none" w:sz="0" w:space="0" w:color="auto"/>
            <w:bottom w:val="none" w:sz="0" w:space="0" w:color="auto"/>
            <w:right w:val="none" w:sz="0" w:space="0" w:color="auto"/>
          </w:divBdr>
        </w:div>
        <w:div w:id="1109472591">
          <w:marLeft w:val="1613"/>
          <w:marRight w:val="0"/>
          <w:marTop w:val="0"/>
          <w:marBottom w:val="0"/>
          <w:divBdr>
            <w:top w:val="none" w:sz="0" w:space="0" w:color="auto"/>
            <w:left w:val="none" w:sz="0" w:space="0" w:color="auto"/>
            <w:bottom w:val="none" w:sz="0" w:space="0" w:color="auto"/>
            <w:right w:val="none" w:sz="0" w:space="0" w:color="auto"/>
          </w:divBdr>
        </w:div>
        <w:div w:id="506948116">
          <w:marLeft w:val="893"/>
          <w:marRight w:val="0"/>
          <w:marTop w:val="0"/>
          <w:marBottom w:val="0"/>
          <w:divBdr>
            <w:top w:val="none" w:sz="0" w:space="0" w:color="auto"/>
            <w:left w:val="none" w:sz="0" w:space="0" w:color="auto"/>
            <w:bottom w:val="none" w:sz="0" w:space="0" w:color="auto"/>
            <w:right w:val="none" w:sz="0" w:space="0" w:color="auto"/>
          </w:divBdr>
        </w:div>
        <w:div w:id="383994162">
          <w:marLeft w:val="1613"/>
          <w:marRight w:val="0"/>
          <w:marTop w:val="0"/>
          <w:marBottom w:val="0"/>
          <w:divBdr>
            <w:top w:val="none" w:sz="0" w:space="0" w:color="auto"/>
            <w:left w:val="none" w:sz="0" w:space="0" w:color="auto"/>
            <w:bottom w:val="none" w:sz="0" w:space="0" w:color="auto"/>
            <w:right w:val="none" w:sz="0" w:space="0" w:color="auto"/>
          </w:divBdr>
        </w:div>
        <w:div w:id="607393598">
          <w:marLeft w:val="1613"/>
          <w:marRight w:val="0"/>
          <w:marTop w:val="0"/>
          <w:marBottom w:val="0"/>
          <w:divBdr>
            <w:top w:val="none" w:sz="0" w:space="0" w:color="auto"/>
            <w:left w:val="none" w:sz="0" w:space="0" w:color="auto"/>
            <w:bottom w:val="none" w:sz="0" w:space="0" w:color="auto"/>
            <w:right w:val="none" w:sz="0" w:space="0" w:color="auto"/>
          </w:divBdr>
        </w:div>
        <w:div w:id="741490427">
          <w:marLeft w:val="2333"/>
          <w:marRight w:val="0"/>
          <w:marTop w:val="0"/>
          <w:marBottom w:val="0"/>
          <w:divBdr>
            <w:top w:val="none" w:sz="0" w:space="0" w:color="auto"/>
            <w:left w:val="none" w:sz="0" w:space="0" w:color="auto"/>
            <w:bottom w:val="none" w:sz="0" w:space="0" w:color="auto"/>
            <w:right w:val="none" w:sz="0" w:space="0" w:color="auto"/>
          </w:divBdr>
        </w:div>
        <w:div w:id="1125390773">
          <w:marLeft w:val="3053"/>
          <w:marRight w:val="0"/>
          <w:marTop w:val="0"/>
          <w:marBottom w:val="0"/>
          <w:divBdr>
            <w:top w:val="none" w:sz="0" w:space="0" w:color="auto"/>
            <w:left w:val="none" w:sz="0" w:space="0" w:color="auto"/>
            <w:bottom w:val="none" w:sz="0" w:space="0" w:color="auto"/>
            <w:right w:val="none" w:sz="0" w:space="0" w:color="auto"/>
          </w:divBdr>
        </w:div>
        <w:div w:id="1458837921">
          <w:marLeft w:val="3053"/>
          <w:marRight w:val="0"/>
          <w:marTop w:val="0"/>
          <w:marBottom w:val="0"/>
          <w:divBdr>
            <w:top w:val="none" w:sz="0" w:space="0" w:color="auto"/>
            <w:left w:val="none" w:sz="0" w:space="0" w:color="auto"/>
            <w:bottom w:val="none" w:sz="0" w:space="0" w:color="auto"/>
            <w:right w:val="none" w:sz="0" w:space="0" w:color="auto"/>
          </w:divBdr>
        </w:div>
        <w:div w:id="874776977">
          <w:marLeft w:val="3053"/>
          <w:marRight w:val="0"/>
          <w:marTop w:val="0"/>
          <w:marBottom w:val="0"/>
          <w:divBdr>
            <w:top w:val="none" w:sz="0" w:space="0" w:color="auto"/>
            <w:left w:val="none" w:sz="0" w:space="0" w:color="auto"/>
            <w:bottom w:val="none" w:sz="0" w:space="0" w:color="auto"/>
            <w:right w:val="none" w:sz="0" w:space="0" w:color="auto"/>
          </w:divBdr>
        </w:div>
        <w:div w:id="473762825">
          <w:marLeft w:val="1613"/>
          <w:marRight w:val="0"/>
          <w:marTop w:val="0"/>
          <w:marBottom w:val="0"/>
          <w:divBdr>
            <w:top w:val="none" w:sz="0" w:space="0" w:color="auto"/>
            <w:left w:val="none" w:sz="0" w:space="0" w:color="auto"/>
            <w:bottom w:val="none" w:sz="0" w:space="0" w:color="auto"/>
            <w:right w:val="none" w:sz="0" w:space="0" w:color="auto"/>
          </w:divBdr>
        </w:div>
        <w:div w:id="1380278773">
          <w:marLeft w:val="2333"/>
          <w:marRight w:val="0"/>
          <w:marTop w:val="0"/>
          <w:marBottom w:val="0"/>
          <w:divBdr>
            <w:top w:val="none" w:sz="0" w:space="0" w:color="auto"/>
            <w:left w:val="none" w:sz="0" w:space="0" w:color="auto"/>
            <w:bottom w:val="none" w:sz="0" w:space="0" w:color="auto"/>
            <w:right w:val="none" w:sz="0" w:space="0" w:color="auto"/>
          </w:divBdr>
        </w:div>
      </w:divsChild>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49060751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7130429">
      <w:bodyDiv w:val="1"/>
      <w:marLeft w:val="0"/>
      <w:marRight w:val="0"/>
      <w:marTop w:val="0"/>
      <w:marBottom w:val="0"/>
      <w:divBdr>
        <w:top w:val="none" w:sz="0" w:space="0" w:color="auto"/>
        <w:left w:val="none" w:sz="0" w:space="0" w:color="auto"/>
        <w:bottom w:val="none" w:sz="0" w:space="0" w:color="auto"/>
        <w:right w:val="none" w:sz="0" w:space="0" w:color="auto"/>
      </w:divBdr>
      <w:divsChild>
        <w:div w:id="597296854">
          <w:marLeft w:val="547"/>
          <w:marRight w:val="0"/>
          <w:marTop w:val="0"/>
          <w:marBottom w:val="0"/>
          <w:divBdr>
            <w:top w:val="none" w:sz="0" w:space="0" w:color="auto"/>
            <w:left w:val="none" w:sz="0" w:space="0" w:color="auto"/>
            <w:bottom w:val="none" w:sz="0" w:space="0" w:color="auto"/>
            <w:right w:val="none" w:sz="0" w:space="0" w:color="auto"/>
          </w:divBdr>
        </w:div>
        <w:div w:id="1498037046">
          <w:marLeft w:val="1166"/>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15961675">
      <w:bodyDiv w:val="1"/>
      <w:marLeft w:val="0"/>
      <w:marRight w:val="0"/>
      <w:marTop w:val="0"/>
      <w:marBottom w:val="0"/>
      <w:divBdr>
        <w:top w:val="none" w:sz="0" w:space="0" w:color="auto"/>
        <w:left w:val="none" w:sz="0" w:space="0" w:color="auto"/>
        <w:bottom w:val="none" w:sz="0" w:space="0" w:color="auto"/>
        <w:right w:val="none" w:sz="0" w:space="0" w:color="auto"/>
      </w:divBdr>
      <w:divsChild>
        <w:div w:id="155531838">
          <w:marLeft w:val="3053"/>
          <w:marRight w:val="0"/>
          <w:marTop w:val="0"/>
          <w:marBottom w:val="0"/>
          <w:divBdr>
            <w:top w:val="none" w:sz="0" w:space="0" w:color="auto"/>
            <w:left w:val="none" w:sz="0" w:space="0" w:color="auto"/>
            <w:bottom w:val="none" w:sz="0" w:space="0" w:color="auto"/>
            <w:right w:val="none" w:sz="0" w:space="0" w:color="auto"/>
          </w:divBdr>
        </w:div>
        <w:div w:id="1811708546">
          <w:marLeft w:val="3053"/>
          <w:marRight w:val="0"/>
          <w:marTop w:val="0"/>
          <w:marBottom w:val="0"/>
          <w:divBdr>
            <w:top w:val="none" w:sz="0" w:space="0" w:color="auto"/>
            <w:left w:val="none" w:sz="0" w:space="0" w:color="auto"/>
            <w:bottom w:val="none" w:sz="0" w:space="0" w:color="auto"/>
            <w:right w:val="none" w:sz="0" w:space="0" w:color="auto"/>
          </w:divBdr>
        </w:div>
        <w:div w:id="101076752">
          <w:marLeft w:val="3053"/>
          <w:marRight w:val="0"/>
          <w:marTop w:val="0"/>
          <w:marBottom w:val="0"/>
          <w:divBdr>
            <w:top w:val="none" w:sz="0" w:space="0" w:color="auto"/>
            <w:left w:val="none" w:sz="0" w:space="0" w:color="auto"/>
            <w:bottom w:val="none" w:sz="0" w:space="0" w:color="auto"/>
            <w:right w:val="none" w:sz="0" w:space="0" w:color="auto"/>
          </w:divBdr>
        </w:div>
      </w:divsChild>
    </w:div>
    <w:div w:id="105620267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22462202">
      <w:bodyDiv w:val="1"/>
      <w:marLeft w:val="0"/>
      <w:marRight w:val="0"/>
      <w:marTop w:val="0"/>
      <w:marBottom w:val="0"/>
      <w:divBdr>
        <w:top w:val="none" w:sz="0" w:space="0" w:color="auto"/>
        <w:left w:val="none" w:sz="0" w:space="0" w:color="auto"/>
        <w:bottom w:val="none" w:sz="0" w:space="0" w:color="auto"/>
        <w:right w:val="none" w:sz="0" w:space="0" w:color="auto"/>
      </w:divBdr>
      <w:divsChild>
        <w:div w:id="172770913">
          <w:marLeft w:val="720"/>
          <w:marRight w:val="0"/>
          <w:marTop w:val="0"/>
          <w:marBottom w:val="120"/>
          <w:divBdr>
            <w:top w:val="none" w:sz="0" w:space="0" w:color="auto"/>
            <w:left w:val="none" w:sz="0" w:space="0" w:color="auto"/>
            <w:bottom w:val="none" w:sz="0" w:space="0" w:color="auto"/>
            <w:right w:val="none" w:sz="0" w:space="0" w:color="auto"/>
          </w:divBdr>
        </w:div>
        <w:div w:id="2075279035">
          <w:marLeft w:val="720"/>
          <w:marRight w:val="0"/>
          <w:marTop w:val="0"/>
          <w:marBottom w:val="120"/>
          <w:divBdr>
            <w:top w:val="none" w:sz="0" w:space="0" w:color="auto"/>
            <w:left w:val="none" w:sz="0" w:space="0" w:color="auto"/>
            <w:bottom w:val="none" w:sz="0" w:space="0" w:color="auto"/>
            <w:right w:val="none" w:sz="0" w:space="0" w:color="auto"/>
          </w:divBdr>
        </w:div>
        <w:div w:id="568685620">
          <w:marLeft w:val="720"/>
          <w:marRight w:val="0"/>
          <w:marTop w:val="0"/>
          <w:marBottom w:val="120"/>
          <w:divBdr>
            <w:top w:val="none" w:sz="0" w:space="0" w:color="auto"/>
            <w:left w:val="none" w:sz="0" w:space="0" w:color="auto"/>
            <w:bottom w:val="none" w:sz="0" w:space="0" w:color="auto"/>
            <w:right w:val="none" w:sz="0" w:space="0" w:color="auto"/>
          </w:divBdr>
        </w:div>
        <w:div w:id="1986660777">
          <w:marLeft w:val="720"/>
          <w:marRight w:val="0"/>
          <w:marTop w:val="0"/>
          <w:marBottom w:val="120"/>
          <w:divBdr>
            <w:top w:val="none" w:sz="0" w:space="0" w:color="auto"/>
            <w:left w:val="none" w:sz="0" w:space="0" w:color="auto"/>
            <w:bottom w:val="none" w:sz="0" w:space="0" w:color="auto"/>
            <w:right w:val="none" w:sz="0" w:space="0" w:color="auto"/>
          </w:divBdr>
        </w:div>
        <w:div w:id="1028798297">
          <w:marLeft w:val="720"/>
          <w:marRight w:val="0"/>
          <w:marTop w:val="0"/>
          <w:marBottom w:val="120"/>
          <w:divBdr>
            <w:top w:val="none" w:sz="0" w:space="0" w:color="auto"/>
            <w:left w:val="none" w:sz="0" w:space="0" w:color="auto"/>
            <w:bottom w:val="none" w:sz="0" w:space="0" w:color="auto"/>
            <w:right w:val="none" w:sz="0" w:space="0" w:color="auto"/>
          </w:divBdr>
        </w:div>
        <w:div w:id="2002150383">
          <w:marLeft w:val="720"/>
          <w:marRight w:val="0"/>
          <w:marTop w:val="0"/>
          <w:marBottom w:val="120"/>
          <w:divBdr>
            <w:top w:val="none" w:sz="0" w:space="0" w:color="auto"/>
            <w:left w:val="none" w:sz="0" w:space="0" w:color="auto"/>
            <w:bottom w:val="none" w:sz="0" w:space="0" w:color="auto"/>
            <w:right w:val="none" w:sz="0" w:space="0" w:color="auto"/>
          </w:divBdr>
        </w:div>
        <w:div w:id="651637945">
          <w:marLeft w:val="1080"/>
          <w:marRight w:val="0"/>
          <w:marTop w:val="0"/>
          <w:marBottom w:val="120"/>
          <w:divBdr>
            <w:top w:val="none" w:sz="0" w:space="0" w:color="auto"/>
            <w:left w:val="none" w:sz="0" w:space="0" w:color="auto"/>
            <w:bottom w:val="none" w:sz="0" w:space="0" w:color="auto"/>
            <w:right w:val="none" w:sz="0" w:space="0" w:color="auto"/>
          </w:divBdr>
        </w:div>
        <w:div w:id="1272669176">
          <w:marLeft w:val="720"/>
          <w:marRight w:val="0"/>
          <w:marTop w:val="0"/>
          <w:marBottom w:val="120"/>
          <w:divBdr>
            <w:top w:val="none" w:sz="0" w:space="0" w:color="auto"/>
            <w:left w:val="none" w:sz="0" w:space="0" w:color="auto"/>
            <w:bottom w:val="none" w:sz="0" w:space="0" w:color="auto"/>
            <w:right w:val="none" w:sz="0" w:space="0" w:color="auto"/>
          </w:divBdr>
        </w:div>
      </w:divsChild>
    </w:div>
    <w:div w:id="1347517848">
      <w:bodyDiv w:val="1"/>
      <w:marLeft w:val="0"/>
      <w:marRight w:val="0"/>
      <w:marTop w:val="0"/>
      <w:marBottom w:val="0"/>
      <w:divBdr>
        <w:top w:val="none" w:sz="0" w:space="0" w:color="auto"/>
        <w:left w:val="none" w:sz="0" w:space="0" w:color="auto"/>
        <w:bottom w:val="none" w:sz="0" w:space="0" w:color="auto"/>
        <w:right w:val="none" w:sz="0" w:space="0" w:color="auto"/>
      </w:divBdr>
      <w:divsChild>
        <w:div w:id="1744528383">
          <w:marLeft w:val="547"/>
          <w:marRight w:val="0"/>
          <w:marTop w:val="0"/>
          <w:marBottom w:val="0"/>
          <w:divBdr>
            <w:top w:val="none" w:sz="0" w:space="0" w:color="auto"/>
            <w:left w:val="none" w:sz="0" w:space="0" w:color="auto"/>
            <w:bottom w:val="none" w:sz="0" w:space="0" w:color="auto"/>
            <w:right w:val="none" w:sz="0" w:space="0" w:color="auto"/>
          </w:divBdr>
        </w:div>
        <w:div w:id="1582174855">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6502922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12091638">
      <w:bodyDiv w:val="1"/>
      <w:marLeft w:val="0"/>
      <w:marRight w:val="0"/>
      <w:marTop w:val="0"/>
      <w:marBottom w:val="0"/>
      <w:divBdr>
        <w:top w:val="none" w:sz="0" w:space="0" w:color="auto"/>
        <w:left w:val="none" w:sz="0" w:space="0" w:color="auto"/>
        <w:bottom w:val="none" w:sz="0" w:space="0" w:color="auto"/>
        <w:right w:val="none" w:sz="0" w:space="0" w:color="auto"/>
      </w:divBdr>
      <w:divsChild>
        <w:div w:id="1112936711">
          <w:marLeft w:val="173"/>
          <w:marRight w:val="0"/>
          <w:marTop w:val="0"/>
          <w:marBottom w:val="0"/>
          <w:divBdr>
            <w:top w:val="none" w:sz="0" w:space="0" w:color="auto"/>
            <w:left w:val="none" w:sz="0" w:space="0" w:color="auto"/>
            <w:bottom w:val="none" w:sz="0" w:space="0" w:color="auto"/>
            <w:right w:val="none" w:sz="0" w:space="0" w:color="auto"/>
          </w:divBdr>
        </w:div>
        <w:div w:id="1406224769">
          <w:marLeft w:val="893"/>
          <w:marRight w:val="0"/>
          <w:marTop w:val="0"/>
          <w:marBottom w:val="0"/>
          <w:divBdr>
            <w:top w:val="none" w:sz="0" w:space="0" w:color="auto"/>
            <w:left w:val="none" w:sz="0" w:space="0" w:color="auto"/>
            <w:bottom w:val="none" w:sz="0" w:space="0" w:color="auto"/>
            <w:right w:val="none" w:sz="0" w:space="0" w:color="auto"/>
          </w:divBdr>
        </w:div>
        <w:div w:id="1995334922">
          <w:marLeft w:val="1613"/>
          <w:marRight w:val="0"/>
          <w:marTop w:val="0"/>
          <w:marBottom w:val="0"/>
          <w:divBdr>
            <w:top w:val="none" w:sz="0" w:space="0" w:color="auto"/>
            <w:left w:val="none" w:sz="0" w:space="0" w:color="auto"/>
            <w:bottom w:val="none" w:sz="0" w:space="0" w:color="auto"/>
            <w:right w:val="none" w:sz="0" w:space="0" w:color="auto"/>
          </w:divBdr>
        </w:div>
        <w:div w:id="1383093153">
          <w:marLeft w:val="893"/>
          <w:marRight w:val="0"/>
          <w:marTop w:val="0"/>
          <w:marBottom w:val="0"/>
          <w:divBdr>
            <w:top w:val="none" w:sz="0" w:space="0" w:color="auto"/>
            <w:left w:val="none" w:sz="0" w:space="0" w:color="auto"/>
            <w:bottom w:val="none" w:sz="0" w:space="0" w:color="auto"/>
            <w:right w:val="none" w:sz="0" w:space="0" w:color="auto"/>
          </w:divBdr>
        </w:div>
        <w:div w:id="1918436973">
          <w:marLeft w:val="1613"/>
          <w:marRight w:val="0"/>
          <w:marTop w:val="0"/>
          <w:marBottom w:val="0"/>
          <w:divBdr>
            <w:top w:val="none" w:sz="0" w:space="0" w:color="auto"/>
            <w:left w:val="none" w:sz="0" w:space="0" w:color="auto"/>
            <w:bottom w:val="none" w:sz="0" w:space="0" w:color="auto"/>
            <w:right w:val="none" w:sz="0" w:space="0" w:color="auto"/>
          </w:divBdr>
        </w:div>
        <w:div w:id="2065253973">
          <w:marLeft w:val="1613"/>
          <w:marRight w:val="0"/>
          <w:marTop w:val="0"/>
          <w:marBottom w:val="0"/>
          <w:divBdr>
            <w:top w:val="none" w:sz="0" w:space="0" w:color="auto"/>
            <w:left w:val="none" w:sz="0" w:space="0" w:color="auto"/>
            <w:bottom w:val="none" w:sz="0" w:space="0" w:color="auto"/>
            <w:right w:val="none" w:sz="0" w:space="0" w:color="auto"/>
          </w:divBdr>
        </w:div>
        <w:div w:id="1265110891">
          <w:marLeft w:val="2333"/>
          <w:marRight w:val="0"/>
          <w:marTop w:val="0"/>
          <w:marBottom w:val="0"/>
          <w:divBdr>
            <w:top w:val="none" w:sz="0" w:space="0" w:color="auto"/>
            <w:left w:val="none" w:sz="0" w:space="0" w:color="auto"/>
            <w:bottom w:val="none" w:sz="0" w:space="0" w:color="auto"/>
            <w:right w:val="none" w:sz="0" w:space="0" w:color="auto"/>
          </w:divBdr>
        </w:div>
        <w:div w:id="285699020">
          <w:marLeft w:val="3053"/>
          <w:marRight w:val="0"/>
          <w:marTop w:val="0"/>
          <w:marBottom w:val="0"/>
          <w:divBdr>
            <w:top w:val="none" w:sz="0" w:space="0" w:color="auto"/>
            <w:left w:val="none" w:sz="0" w:space="0" w:color="auto"/>
            <w:bottom w:val="none" w:sz="0" w:space="0" w:color="auto"/>
            <w:right w:val="none" w:sz="0" w:space="0" w:color="auto"/>
          </w:divBdr>
        </w:div>
        <w:div w:id="426579973">
          <w:marLeft w:val="3053"/>
          <w:marRight w:val="0"/>
          <w:marTop w:val="0"/>
          <w:marBottom w:val="0"/>
          <w:divBdr>
            <w:top w:val="none" w:sz="0" w:space="0" w:color="auto"/>
            <w:left w:val="none" w:sz="0" w:space="0" w:color="auto"/>
            <w:bottom w:val="none" w:sz="0" w:space="0" w:color="auto"/>
            <w:right w:val="none" w:sz="0" w:space="0" w:color="auto"/>
          </w:divBdr>
        </w:div>
        <w:div w:id="2017724503">
          <w:marLeft w:val="3053"/>
          <w:marRight w:val="0"/>
          <w:marTop w:val="0"/>
          <w:marBottom w:val="0"/>
          <w:divBdr>
            <w:top w:val="none" w:sz="0" w:space="0" w:color="auto"/>
            <w:left w:val="none" w:sz="0" w:space="0" w:color="auto"/>
            <w:bottom w:val="none" w:sz="0" w:space="0" w:color="auto"/>
            <w:right w:val="none" w:sz="0" w:space="0" w:color="auto"/>
          </w:divBdr>
        </w:div>
        <w:div w:id="1793404885">
          <w:marLeft w:val="1613"/>
          <w:marRight w:val="0"/>
          <w:marTop w:val="0"/>
          <w:marBottom w:val="0"/>
          <w:divBdr>
            <w:top w:val="none" w:sz="0" w:space="0" w:color="auto"/>
            <w:left w:val="none" w:sz="0" w:space="0" w:color="auto"/>
            <w:bottom w:val="none" w:sz="0" w:space="0" w:color="auto"/>
            <w:right w:val="none" w:sz="0" w:space="0" w:color="auto"/>
          </w:divBdr>
        </w:div>
        <w:div w:id="548567521">
          <w:marLeft w:val="2333"/>
          <w:marRight w:val="0"/>
          <w:marTop w:val="0"/>
          <w:marBottom w:val="0"/>
          <w:divBdr>
            <w:top w:val="none" w:sz="0" w:space="0" w:color="auto"/>
            <w:left w:val="none" w:sz="0" w:space="0" w:color="auto"/>
            <w:bottom w:val="none" w:sz="0" w:space="0" w:color="auto"/>
            <w:right w:val="none" w:sz="0" w:space="0" w:color="auto"/>
          </w:divBdr>
        </w:div>
      </w:divsChild>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1D3D8-DF61-4AB9-9795-C8AD5DEA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6121</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Ye, Sigen (Nokia - US)</cp:lastModifiedBy>
  <cp:revision>4</cp:revision>
  <cp:lastPrinted>2013-09-26T18:14:00Z</cp:lastPrinted>
  <dcterms:created xsi:type="dcterms:W3CDTF">2016-08-12T09:44:00Z</dcterms:created>
  <dcterms:modified xsi:type="dcterms:W3CDTF">2016-08-12T22:00:00Z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